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773D" w14:textId="77777777" w:rsidR="00D72866" w:rsidRDefault="003821ED" w:rsidP="00032D82">
      <w:pPr>
        <w:pStyle w:val="Chapter"/>
      </w:pPr>
      <w:r>
        <w:t xml:space="preserve">Activity 1: </w:t>
      </w:r>
      <w:r w:rsidR="005F6610">
        <w:t>Potential impacts of future developments</w:t>
      </w:r>
    </w:p>
    <w:p w14:paraId="5A5CB3BB" w14:textId="7605F745" w:rsidR="00910BA0" w:rsidRPr="00910BA0" w:rsidRDefault="005F6610" w:rsidP="00910BA0">
      <w:pPr>
        <w:rPr>
          <w:rFonts w:eastAsia="Calibri" w:cs="Arial"/>
          <w:color w:val="000000" w:themeColor="text1"/>
        </w:rPr>
      </w:pPr>
      <w:r w:rsidRPr="398E64F1">
        <w:rPr>
          <w:rFonts w:eastAsia="Calibri" w:cs="Arial"/>
          <w:color w:val="000000" w:themeColor="text1"/>
        </w:rPr>
        <w:t xml:space="preserve">Complete the worksheet to </w:t>
      </w:r>
      <w:r w:rsidR="3100D06C" w:rsidRPr="398E64F1">
        <w:rPr>
          <w:rFonts w:eastAsia="Calibri" w:cs="Arial"/>
          <w:color w:val="000000" w:themeColor="text1"/>
        </w:rPr>
        <w:t>evaluate</w:t>
      </w:r>
      <w:r w:rsidRPr="398E64F1">
        <w:rPr>
          <w:rFonts w:eastAsia="Calibri" w:cs="Arial"/>
          <w:color w:val="000000" w:themeColor="text1"/>
        </w:rPr>
        <w:t xml:space="preserve"> </w:t>
      </w:r>
      <w:r w:rsidR="367576FC" w:rsidRPr="398E64F1">
        <w:rPr>
          <w:rFonts w:eastAsia="Calibri" w:cs="Arial"/>
          <w:color w:val="000000" w:themeColor="text1"/>
        </w:rPr>
        <w:t xml:space="preserve">how </w:t>
      </w:r>
      <w:r w:rsidR="2DC92FAA" w:rsidRPr="398E64F1">
        <w:rPr>
          <w:rFonts w:eastAsia="Calibri" w:cs="Arial"/>
          <w:color w:val="000000" w:themeColor="text1"/>
        </w:rPr>
        <w:t>fu</w:t>
      </w:r>
      <w:r w:rsidRPr="398E64F1">
        <w:rPr>
          <w:rFonts w:eastAsia="Calibri" w:cs="Arial"/>
          <w:color w:val="000000" w:themeColor="text1"/>
        </w:rPr>
        <w:t>t</w:t>
      </w:r>
      <w:r w:rsidR="77D091CA" w:rsidRPr="398E64F1">
        <w:rPr>
          <w:rFonts w:eastAsia="Calibri" w:cs="Arial"/>
          <w:color w:val="000000" w:themeColor="text1"/>
        </w:rPr>
        <w:t>ure development</w:t>
      </w:r>
      <w:r w:rsidR="44D73130" w:rsidRPr="398E64F1">
        <w:rPr>
          <w:rFonts w:eastAsia="Calibri" w:cs="Arial"/>
          <w:color w:val="000000" w:themeColor="text1"/>
        </w:rPr>
        <w:t>s</w:t>
      </w:r>
      <w:r w:rsidR="77D091CA" w:rsidRPr="398E64F1">
        <w:rPr>
          <w:rFonts w:eastAsia="Calibri" w:cs="Arial"/>
          <w:color w:val="000000" w:themeColor="text1"/>
        </w:rPr>
        <w:t xml:space="preserve"> </w:t>
      </w:r>
      <w:r w:rsidR="6089F385" w:rsidRPr="398E64F1">
        <w:rPr>
          <w:rFonts w:eastAsia="Calibri" w:cs="Arial"/>
          <w:color w:val="000000" w:themeColor="text1"/>
        </w:rPr>
        <w:t>will impact</w:t>
      </w:r>
      <w:r w:rsidRPr="398E64F1">
        <w:rPr>
          <w:rFonts w:eastAsia="Calibri" w:cs="Arial"/>
          <w:color w:val="000000" w:themeColor="text1"/>
        </w:rPr>
        <w:t xml:space="preserve"> patients and healthcare staff.</w:t>
      </w:r>
      <w:r w:rsidR="0B3FA57C" w:rsidRPr="398E64F1">
        <w:rPr>
          <w:rFonts w:eastAsia="Calibri" w:cs="Arial"/>
          <w:color w:val="000000" w:themeColor="text1"/>
        </w:rPr>
        <w:t xml:space="preserve"> </w:t>
      </w:r>
      <w:r w:rsidR="00D61F83">
        <w:rPr>
          <w:rFonts w:eastAsia="Calibri" w:cs="Arial"/>
          <w:color w:val="000000" w:themeColor="text1"/>
        </w:rPr>
        <w:t xml:space="preserve">Try to make at least two points in each box. </w:t>
      </w:r>
      <w:r w:rsidR="00B856C4">
        <w:rPr>
          <w:rFonts w:eastAsia="Calibri" w:cs="Arial"/>
          <w:color w:val="000000" w:themeColor="text1"/>
        </w:rPr>
        <w:t>Some boxes have been completed for you.</w:t>
      </w:r>
    </w:p>
    <w:tbl>
      <w:tblPr>
        <w:tblStyle w:val="TableGridLight1"/>
        <w:tblpPr w:leftFromText="181" w:rightFromText="18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30300" w14:paraId="796F62B5" w14:textId="77777777" w:rsidTr="00E54C16">
        <w:tc>
          <w:tcPr>
            <w:tcW w:w="3487" w:type="dxa"/>
          </w:tcPr>
          <w:p w14:paraId="1E6F9BE6" w14:textId="77777777" w:rsidR="00260E07" w:rsidRDefault="2DE74313" w:rsidP="00742A78">
            <w:pPr>
              <w:pStyle w:val="Tablehead3"/>
              <w:rPr>
                <w:sz w:val="22"/>
                <w:szCs w:val="22"/>
              </w:rPr>
            </w:pPr>
            <w:r w:rsidRPr="398E64F1">
              <w:rPr>
                <w:sz w:val="22"/>
                <w:szCs w:val="22"/>
              </w:rPr>
              <w:t>Future Developments</w:t>
            </w:r>
            <w:r w:rsidR="00930300" w:rsidRPr="398E64F1">
              <w:rPr>
                <w:sz w:val="22"/>
                <w:szCs w:val="22"/>
              </w:rPr>
              <w:t xml:space="preserve"> </w:t>
            </w:r>
          </w:p>
          <w:p w14:paraId="4F1AC638" w14:textId="6DAD7F0A" w:rsidR="00930300" w:rsidRPr="00DB18AE" w:rsidRDefault="00930300" w:rsidP="00742A78">
            <w:pPr>
              <w:pStyle w:val="Tablehead3"/>
              <w:rPr>
                <w:sz w:val="22"/>
                <w:szCs w:val="22"/>
              </w:rPr>
            </w:pPr>
            <w:r w:rsidRPr="398E64F1">
              <w:rPr>
                <w:sz w:val="22"/>
                <w:szCs w:val="22"/>
              </w:rPr>
              <w:t xml:space="preserve">(include </w:t>
            </w:r>
            <w:r w:rsidR="00260E07">
              <w:rPr>
                <w:sz w:val="22"/>
                <w:szCs w:val="22"/>
              </w:rPr>
              <w:t xml:space="preserve">a </w:t>
            </w:r>
            <w:r w:rsidRPr="398E64F1">
              <w:rPr>
                <w:sz w:val="22"/>
                <w:szCs w:val="22"/>
              </w:rPr>
              <w:t>simple description)</w:t>
            </w:r>
          </w:p>
        </w:tc>
        <w:tc>
          <w:tcPr>
            <w:tcW w:w="3487" w:type="dxa"/>
          </w:tcPr>
          <w:p w14:paraId="4D2307C0" w14:textId="77777777" w:rsidR="00930300" w:rsidRPr="00DB18AE" w:rsidRDefault="00930300" w:rsidP="00742A78">
            <w:pPr>
              <w:pStyle w:val="Tablehead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</w:t>
            </w:r>
            <w:r w:rsidR="009E728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to patient</w:t>
            </w:r>
          </w:p>
        </w:tc>
        <w:tc>
          <w:tcPr>
            <w:tcW w:w="3487" w:type="dxa"/>
          </w:tcPr>
          <w:p w14:paraId="7D44E726" w14:textId="77777777" w:rsidR="00930300" w:rsidRPr="00DB18AE" w:rsidRDefault="00930300" w:rsidP="00742A78">
            <w:pPr>
              <w:pStyle w:val="Tablehead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Benefits to healthcare staff</w:t>
            </w:r>
          </w:p>
        </w:tc>
        <w:tc>
          <w:tcPr>
            <w:tcW w:w="3487" w:type="dxa"/>
          </w:tcPr>
          <w:p w14:paraId="4F80FBF5" w14:textId="77777777" w:rsidR="00930300" w:rsidRDefault="00930300" w:rsidP="00742A78">
            <w:pPr>
              <w:pStyle w:val="Tablehead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Disadvantages</w:t>
            </w:r>
          </w:p>
        </w:tc>
      </w:tr>
      <w:tr w:rsidR="00930300" w14:paraId="3514851E" w14:textId="77777777" w:rsidTr="00E54C16">
        <w:trPr>
          <w:trHeight w:val="1845"/>
        </w:trPr>
        <w:tc>
          <w:tcPr>
            <w:tcW w:w="3487" w:type="dxa"/>
          </w:tcPr>
          <w:p w14:paraId="2C745F56" w14:textId="6601B487" w:rsidR="00EC6E40" w:rsidRPr="00742A78" w:rsidRDefault="5CAFE466" w:rsidP="00742A78">
            <w:pPr>
              <w:pStyle w:val="Tablehead3"/>
              <w:rPr>
                <w:sz w:val="22"/>
                <w:szCs w:val="22"/>
              </w:rPr>
            </w:pPr>
            <w:r w:rsidRPr="0FA09FE6">
              <w:rPr>
                <w:sz w:val="22"/>
                <w:szCs w:val="22"/>
              </w:rPr>
              <w:t>Funding of public health</w:t>
            </w:r>
          </w:p>
          <w:p w14:paraId="4DFF1D95" w14:textId="430EDE56" w:rsidR="00D61F83" w:rsidRPr="00EC6E40" w:rsidRDefault="00D61F83" w:rsidP="00742A78">
            <w:pPr>
              <w:rPr>
                <w:rFonts w:eastAsia="Arial" w:cs="Arial"/>
                <w:color w:val="000000" w:themeColor="text1"/>
              </w:rPr>
            </w:pPr>
            <w:r w:rsidRPr="00EC6E40">
              <w:rPr>
                <w:rFonts w:eastAsia="Arial" w:cs="Arial"/>
                <w:color w:val="000000" w:themeColor="text1"/>
              </w:rPr>
              <w:t>Most of the funding comes from general taxation and national insurance contributions.</w:t>
            </w:r>
          </w:p>
          <w:p w14:paraId="6752987F" w14:textId="02B115AE" w:rsidR="00930300" w:rsidRPr="00DB18AE" w:rsidRDefault="00930300" w:rsidP="00742A78">
            <w:pPr>
              <w:pStyle w:val="Tablehead3"/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7E173355" w14:textId="7F124F45" w:rsidR="00930300" w:rsidRPr="00742A78" w:rsidRDefault="12EB7BA6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Increased funding may lead to reduced waiting times for treatments and appointments, ensuring that patients receive timely care.</w:t>
            </w:r>
          </w:p>
          <w:p w14:paraId="24276712" w14:textId="7D8787DE" w:rsidR="00930300" w:rsidRPr="00742A78" w:rsidRDefault="00930300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672A6659" w14:textId="3EABB4BB" w:rsidR="00930300" w:rsidRPr="00742A78" w:rsidRDefault="12EB7BA6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Extra funding may enable the NHS to invest in new technologies, equipment, and facilities, which can lead to improved diagnosis and treatment outcomes</w:t>
            </w:r>
            <w:r w:rsidR="16FD1E80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.</w:t>
            </w:r>
          </w:p>
        </w:tc>
        <w:tc>
          <w:tcPr>
            <w:tcW w:w="3487" w:type="dxa"/>
          </w:tcPr>
          <w:p w14:paraId="0A37501D" w14:textId="77777777" w:rsidR="00930300" w:rsidRPr="00377A27" w:rsidRDefault="00930300" w:rsidP="00742A78">
            <w:pPr>
              <w:pStyle w:val="Tablebody3"/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5DAB6C7B" w14:textId="77777777" w:rsidR="00930300" w:rsidRPr="00377A27" w:rsidRDefault="00930300" w:rsidP="00742A78">
            <w:pPr>
              <w:pStyle w:val="Tablebody3"/>
              <w:rPr>
                <w:sz w:val="22"/>
                <w:szCs w:val="22"/>
              </w:rPr>
            </w:pPr>
          </w:p>
        </w:tc>
      </w:tr>
      <w:tr w:rsidR="0FA09FE6" w14:paraId="252F46F6" w14:textId="77777777" w:rsidTr="00E54C16">
        <w:trPr>
          <w:trHeight w:val="1845"/>
        </w:trPr>
        <w:tc>
          <w:tcPr>
            <w:tcW w:w="3487" w:type="dxa"/>
          </w:tcPr>
          <w:p w14:paraId="4216C0EE" w14:textId="3BFADACD" w:rsidR="0FA09FE6" w:rsidRDefault="5CAFE466" w:rsidP="00742A78">
            <w:pPr>
              <w:pStyle w:val="Tablehead3"/>
              <w:rPr>
                <w:sz w:val="22"/>
                <w:szCs w:val="22"/>
              </w:rPr>
            </w:pPr>
            <w:r w:rsidRPr="0FA09FE6">
              <w:rPr>
                <w:sz w:val="22"/>
                <w:szCs w:val="22"/>
              </w:rPr>
              <w:t xml:space="preserve">Private </w:t>
            </w:r>
            <w:r w:rsidR="00706A8D">
              <w:rPr>
                <w:sz w:val="22"/>
                <w:szCs w:val="22"/>
              </w:rPr>
              <w:t>healthcare</w:t>
            </w:r>
          </w:p>
          <w:p w14:paraId="730881FC" w14:textId="5A3F9F61" w:rsidR="0FA09FE6" w:rsidRDefault="0FA09FE6" w:rsidP="00742A78">
            <w:pPr>
              <w:pStyle w:val="Tablehead3"/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5D0C992C" w14:textId="19BA7071" w:rsidR="0FA09FE6" w:rsidRDefault="003D046A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More services available, so g</w:t>
            </w:r>
            <w:r w:rsidR="21B66F47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reater patient choice including treatment provider</w:t>
            </w:r>
            <w:r w:rsidR="00856914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s and </w:t>
            </w:r>
            <w:r w:rsidR="21B66F47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speed of service.</w:t>
            </w:r>
          </w:p>
          <w:p w14:paraId="4D34F43F" w14:textId="77777777" w:rsidR="00E54C16" w:rsidRPr="00742A78" w:rsidRDefault="00E54C16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17D82616" w14:textId="02A9B493" w:rsidR="0FA09FE6" w:rsidRPr="00742A78" w:rsidRDefault="21B66F47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There may be access to more advanced treatments.</w:t>
            </w:r>
          </w:p>
        </w:tc>
        <w:tc>
          <w:tcPr>
            <w:tcW w:w="3487" w:type="dxa"/>
          </w:tcPr>
          <w:p w14:paraId="224B6581" w14:textId="1DFEBBFD" w:rsidR="0FA09FE6" w:rsidRDefault="0FA09FE6" w:rsidP="00742A78">
            <w:pPr>
              <w:pStyle w:val="Tablebody3"/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7D32B3F6" w14:textId="37722EA3" w:rsidR="0FA09FE6" w:rsidRDefault="0FA09FE6" w:rsidP="00742A78">
            <w:pPr>
              <w:pStyle w:val="Tablebody3"/>
              <w:rPr>
                <w:sz w:val="22"/>
                <w:szCs w:val="22"/>
              </w:rPr>
            </w:pPr>
          </w:p>
        </w:tc>
      </w:tr>
      <w:tr w:rsidR="0FA09FE6" w14:paraId="4B70F48F" w14:textId="77777777" w:rsidTr="00E54C16">
        <w:trPr>
          <w:trHeight w:val="1845"/>
        </w:trPr>
        <w:tc>
          <w:tcPr>
            <w:tcW w:w="3487" w:type="dxa"/>
          </w:tcPr>
          <w:p w14:paraId="0A9E576E" w14:textId="3A78ED9E" w:rsidR="0FA09FE6" w:rsidRDefault="003D046A" w:rsidP="00742A78">
            <w:pPr>
              <w:pStyle w:val="Tablehead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Changes in d</w:t>
            </w:r>
            <w:r w:rsidR="5CAFE466" w:rsidRPr="0FA09FE6">
              <w:rPr>
                <w:sz w:val="22"/>
                <w:szCs w:val="22"/>
              </w:rPr>
              <w:t>emographics</w:t>
            </w:r>
          </w:p>
        </w:tc>
        <w:tc>
          <w:tcPr>
            <w:tcW w:w="3487" w:type="dxa"/>
          </w:tcPr>
          <w:p w14:paraId="77AA55A9" w14:textId="6488536C" w:rsidR="0FA09FE6" w:rsidRPr="00742A78" w:rsidRDefault="1BA8DAAD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H</w:t>
            </w:r>
            <w:r w:rsidR="55A83248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ealthcare services can be better tailored to meet the specific needs of different age groups, ensuring that patients receive appropriate care.</w:t>
            </w:r>
          </w:p>
          <w:p w14:paraId="02E4E89E" w14:textId="29516CE1" w:rsidR="0FA09FE6" w:rsidRPr="00742A78" w:rsidRDefault="0FA09FE6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48C320BE" w14:textId="2578C0DA" w:rsidR="0FA09FE6" w:rsidRDefault="55A83248" w:rsidP="00742A78">
            <w:pPr>
              <w:pStyle w:val="Tablebody3"/>
              <w:rPr>
                <w:rFonts w:eastAsia="Calibri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Increased emphasis on preventive care can result from changing demographics, helping to reduce the burden of chronic diseases and improve overall population health.</w:t>
            </w:r>
          </w:p>
        </w:tc>
        <w:tc>
          <w:tcPr>
            <w:tcW w:w="3487" w:type="dxa"/>
          </w:tcPr>
          <w:p w14:paraId="67B5A6AD" w14:textId="0FDC721E" w:rsidR="0FA09FE6" w:rsidRDefault="0FA09FE6" w:rsidP="00742A78">
            <w:pPr>
              <w:pStyle w:val="Tablebody3"/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37D4CE64" w14:textId="05F84978" w:rsidR="0FA09FE6" w:rsidRDefault="0FA09FE6" w:rsidP="00742A78">
            <w:pPr>
              <w:pStyle w:val="Tablebody3"/>
              <w:rPr>
                <w:sz w:val="22"/>
                <w:szCs w:val="22"/>
              </w:rPr>
            </w:pPr>
          </w:p>
        </w:tc>
      </w:tr>
      <w:tr w:rsidR="0FA09FE6" w14:paraId="672F5D49" w14:textId="77777777" w:rsidTr="00E54C16">
        <w:trPr>
          <w:trHeight w:val="1845"/>
        </w:trPr>
        <w:tc>
          <w:tcPr>
            <w:tcW w:w="3487" w:type="dxa"/>
          </w:tcPr>
          <w:p w14:paraId="76472AD3" w14:textId="6CD5ED69" w:rsidR="00EC6E40" w:rsidRPr="00742A78" w:rsidRDefault="1B4E241B" w:rsidP="00742A78">
            <w:pPr>
              <w:pStyle w:val="Tablehead3"/>
              <w:rPr>
                <w:sz w:val="22"/>
                <w:szCs w:val="22"/>
              </w:rPr>
            </w:pPr>
            <w:r w:rsidRPr="398E64F1">
              <w:rPr>
                <w:sz w:val="22"/>
                <w:szCs w:val="22"/>
              </w:rPr>
              <w:t>Technological</w:t>
            </w:r>
            <w:r w:rsidR="5CAFE466" w:rsidRPr="398E64F1">
              <w:rPr>
                <w:sz w:val="22"/>
                <w:szCs w:val="22"/>
              </w:rPr>
              <w:t xml:space="preserve"> infrastructure</w:t>
            </w:r>
          </w:p>
          <w:p w14:paraId="06C63333" w14:textId="077A34C5" w:rsidR="5CAFE466" w:rsidRDefault="6AC82D4A" w:rsidP="00742A78">
            <w:pPr>
              <w:pStyle w:val="Tablehead3"/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</w:pPr>
            <w:r w:rsidRPr="398E64F1"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  <w:t xml:space="preserve">Computer systems connect NHS staff with patient histories and test results, coordinating treatment plans and </w:t>
            </w:r>
            <w:r w:rsidR="00150A81"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  <w:t>promoting</w:t>
            </w:r>
            <w:r w:rsidRPr="398E64F1"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  <w:t xml:space="preserve"> continuity of care</w:t>
            </w:r>
            <w:r w:rsidR="37D419D1" w:rsidRPr="398E64F1"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3487" w:type="dxa"/>
          </w:tcPr>
          <w:p w14:paraId="6131D710" w14:textId="73A48D6E" w:rsidR="0FA09FE6" w:rsidRDefault="6AC82D4A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Patients can access the</w:t>
            </w:r>
            <w:r w:rsidR="5CCA30ED"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ir </w:t>
            </w:r>
            <w:r w:rsidR="6505304F"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records</w:t>
            </w:r>
            <w:r w:rsidR="02982C54"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a</w:t>
            </w:r>
            <w:r w:rsidR="2132F67B"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n</w:t>
            </w:r>
            <w:r w:rsidR="02982C54"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d manage appointments</w:t>
            </w:r>
            <w:r w:rsidR="6505304F"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</w:t>
            </w:r>
            <w:r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via the NHS app.</w:t>
            </w:r>
          </w:p>
        </w:tc>
        <w:tc>
          <w:tcPr>
            <w:tcW w:w="3487" w:type="dxa"/>
          </w:tcPr>
          <w:p w14:paraId="63F63E57" w14:textId="77777777" w:rsidR="00706A8D" w:rsidRPr="00742A78" w:rsidRDefault="293E4CDE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Improved technological </w:t>
            </w:r>
            <w:r w:rsidR="0BE88BC8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services</w:t>
            </w: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will help the NHS meet the demands that it faces by</w:t>
            </w:r>
            <w:r w:rsidR="00706A8D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:</w:t>
            </w:r>
          </w:p>
          <w:p w14:paraId="2A7194CF" w14:textId="7A3DA733" w:rsidR="00706A8D" w:rsidRPr="00742A78" w:rsidRDefault="293E4CDE" w:rsidP="00742A78">
            <w:pPr>
              <w:pStyle w:val="Tablebody3"/>
              <w:numPr>
                <w:ilvl w:val="0"/>
                <w:numId w:val="33"/>
              </w:numP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increasing workforce productivity</w:t>
            </w:r>
            <w:r w:rsidR="003D046A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(for example triaging systems can direct users to a particular service)</w:t>
            </w:r>
          </w:p>
          <w:p w14:paraId="25DCC50B" w14:textId="77777777" w:rsidR="00706A8D" w:rsidRPr="00742A78" w:rsidRDefault="293E4CDE" w:rsidP="00742A78">
            <w:pPr>
              <w:pStyle w:val="Tablebody3"/>
              <w:numPr>
                <w:ilvl w:val="0"/>
                <w:numId w:val="33"/>
              </w:numP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optimising resource allocation</w:t>
            </w:r>
          </w:p>
          <w:p w14:paraId="1A7701E4" w14:textId="77777777" w:rsidR="0FA09FE6" w:rsidRDefault="293E4CDE" w:rsidP="00742A78">
            <w:pPr>
              <w:pStyle w:val="Tablebody3"/>
              <w:numPr>
                <w:ilvl w:val="0"/>
                <w:numId w:val="33"/>
              </w:numP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reducing errors and improving safety.</w:t>
            </w:r>
          </w:p>
          <w:p w14:paraId="79CE179C" w14:textId="583FFF6E" w:rsidR="003D046A" w:rsidRPr="00742A78" w:rsidRDefault="003D046A" w:rsidP="00742A78">
            <w:pPr>
              <w:pStyle w:val="Tablebody3"/>
              <w:numPr>
                <w:ilvl w:val="0"/>
                <w:numId w:val="33"/>
              </w:numP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Improving diagnostics</w:t>
            </w:r>
          </w:p>
        </w:tc>
        <w:tc>
          <w:tcPr>
            <w:tcW w:w="3487" w:type="dxa"/>
          </w:tcPr>
          <w:p w14:paraId="52DD4E3F" w14:textId="20E9B3E2" w:rsidR="0FA09FE6" w:rsidRDefault="0FA09FE6" w:rsidP="00742A78">
            <w:pPr>
              <w:pStyle w:val="Tablebody3"/>
              <w:rPr>
                <w:sz w:val="22"/>
                <w:szCs w:val="22"/>
              </w:rPr>
            </w:pPr>
          </w:p>
        </w:tc>
      </w:tr>
      <w:tr w:rsidR="00930300" w14:paraId="4E0823C4" w14:textId="77777777" w:rsidTr="00E54C16">
        <w:trPr>
          <w:trHeight w:val="1969"/>
        </w:trPr>
        <w:tc>
          <w:tcPr>
            <w:tcW w:w="3487" w:type="dxa"/>
          </w:tcPr>
          <w:p w14:paraId="58EC958B" w14:textId="5C5610F8" w:rsidR="00EC6E40" w:rsidRPr="00742A78" w:rsidRDefault="009E728B" w:rsidP="00742A78">
            <w:pPr>
              <w:pStyle w:val="Tablehead3"/>
              <w:rPr>
                <w:sz w:val="22"/>
                <w:szCs w:val="22"/>
              </w:rPr>
            </w:pPr>
            <w:r w:rsidRPr="398E64F1">
              <w:rPr>
                <w:sz w:val="22"/>
                <w:szCs w:val="22"/>
              </w:rPr>
              <w:lastRenderedPageBreak/>
              <w:t>Regenerative m</w:t>
            </w:r>
            <w:r w:rsidR="00930300" w:rsidRPr="398E64F1">
              <w:rPr>
                <w:sz w:val="22"/>
                <w:szCs w:val="22"/>
              </w:rPr>
              <w:t>edicine</w:t>
            </w:r>
          </w:p>
          <w:p w14:paraId="69A9C7AB" w14:textId="2342E8E0" w:rsidR="00930300" w:rsidRPr="00DB18AE" w:rsidRDefault="16041DC3" w:rsidP="00742A78">
            <w:pPr>
              <w:spacing w:line="240" w:lineRule="exact"/>
              <w:rPr>
                <w:rFonts w:eastAsia="Calibri"/>
                <w:lang w:val="en-US"/>
              </w:rPr>
            </w:pPr>
            <w:r w:rsidRPr="398E64F1">
              <w:rPr>
                <w:rFonts w:eastAsia="Arial" w:cs="Arial"/>
                <w:color w:val="262626" w:themeColor="text1" w:themeTint="D9"/>
                <w:lang w:val="en-US"/>
              </w:rPr>
              <w:t>Regenerative medicine regenerates damaged organs or tissues that are not easily repaired.</w:t>
            </w:r>
          </w:p>
        </w:tc>
        <w:tc>
          <w:tcPr>
            <w:tcW w:w="3487" w:type="dxa"/>
          </w:tcPr>
          <w:p w14:paraId="02EB378F" w14:textId="2A371533" w:rsidR="00930300" w:rsidRPr="00742A78" w:rsidRDefault="00930300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</w:tc>
        <w:tc>
          <w:tcPr>
            <w:tcW w:w="3487" w:type="dxa"/>
          </w:tcPr>
          <w:p w14:paraId="6A05A809" w14:textId="77777777" w:rsidR="00930300" w:rsidRPr="00377A27" w:rsidRDefault="00930300" w:rsidP="00742A78">
            <w:pPr>
              <w:pStyle w:val="Tablebody3"/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5A39BBE3" w14:textId="77777777" w:rsidR="00150A81" w:rsidRPr="00150A81" w:rsidRDefault="00150A81" w:rsidP="00742A78"/>
        </w:tc>
      </w:tr>
      <w:tr w:rsidR="007E20B6" w14:paraId="5F1D03D2" w14:textId="77777777" w:rsidTr="00E54C16">
        <w:trPr>
          <w:trHeight w:val="1833"/>
        </w:trPr>
        <w:tc>
          <w:tcPr>
            <w:tcW w:w="3487" w:type="dxa"/>
          </w:tcPr>
          <w:p w14:paraId="1C1A115B" w14:textId="0339D2BB" w:rsidR="00EC6E40" w:rsidRPr="00742A78" w:rsidRDefault="007E20B6" w:rsidP="00742A78">
            <w:pPr>
              <w:pStyle w:val="Tablehead3"/>
              <w:rPr>
                <w:rFonts w:eastAsia="Arial" w:cs="Arial"/>
                <w:sz w:val="22"/>
                <w:szCs w:val="22"/>
              </w:rPr>
            </w:pPr>
            <w:r w:rsidRPr="398E64F1">
              <w:rPr>
                <w:rFonts w:eastAsia="Arial" w:cs="Arial"/>
                <w:sz w:val="22"/>
                <w:szCs w:val="22"/>
              </w:rPr>
              <w:t>Biomarkers</w:t>
            </w:r>
          </w:p>
          <w:p w14:paraId="42293871" w14:textId="0731C9DF" w:rsidR="007E20B6" w:rsidRDefault="3B7B59D5" w:rsidP="00742A78">
            <w:pPr>
              <w:pStyle w:val="Tablehead3"/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</w:pPr>
            <w:r w:rsidRPr="398E64F1"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  <w:t>Biomarkers are biological molecules found in blood or tissues that are signs of a condition or disease</w:t>
            </w:r>
            <w:r w:rsidR="15C6766B" w:rsidRPr="398E64F1">
              <w:rPr>
                <w:rFonts w:eastAsia="Arial" w:cs="Arial"/>
                <w:b w:val="0"/>
                <w:bCs w:val="0"/>
                <w:color w:val="262626" w:themeColor="text1" w:themeTint="D9"/>
                <w:sz w:val="22"/>
                <w:szCs w:val="22"/>
                <w:lang w:val="en-US"/>
              </w:rPr>
              <w:t>.</w:t>
            </w:r>
          </w:p>
        </w:tc>
        <w:tc>
          <w:tcPr>
            <w:tcW w:w="3487" w:type="dxa"/>
          </w:tcPr>
          <w:p w14:paraId="427AAB40" w14:textId="7F0919EB" w:rsidR="00260E07" w:rsidRPr="00742A78" w:rsidRDefault="1ACDCC6E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Biomarkers can be used to track the progress of treatment for a condition</w:t>
            </w:r>
            <w:r w:rsidR="00260E07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.</w:t>
            </w:r>
          </w:p>
          <w:p w14:paraId="42B2730D" w14:textId="77777777" w:rsidR="00260E07" w:rsidRPr="00742A78" w:rsidRDefault="00260E07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7E454510" w14:textId="77777777" w:rsidR="007E20B6" w:rsidRDefault="00260E07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They can </w:t>
            </w:r>
            <w:r w:rsidR="1ACDCC6E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provide more personalised treatment for patients’ needs.</w:t>
            </w:r>
          </w:p>
          <w:p w14:paraId="78AB44E7" w14:textId="77777777" w:rsidR="003D046A" w:rsidRDefault="003D046A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5D7F4EBF" w14:textId="77777777" w:rsidR="003D046A" w:rsidRPr="00997FD5" w:rsidRDefault="003D046A" w:rsidP="003D046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They can </w:t>
            </w:r>
            <w:r w:rsidRPr="00997FD5">
              <w:rPr>
                <w:rFonts w:eastAsia="Arial" w:cs="Arial"/>
                <w:color w:val="000000" w:themeColor="text1"/>
              </w:rPr>
              <w:t xml:space="preserve">identify early </w:t>
            </w:r>
            <w:r>
              <w:rPr>
                <w:rFonts w:eastAsia="Arial" w:cs="Arial"/>
                <w:color w:val="000000" w:themeColor="text1"/>
              </w:rPr>
              <w:t xml:space="preserve">signs of disease (such as </w:t>
            </w:r>
            <w:r w:rsidRPr="00997FD5">
              <w:rPr>
                <w:rFonts w:eastAsia="Arial" w:cs="Arial"/>
                <w:color w:val="000000" w:themeColor="text1"/>
              </w:rPr>
              <w:t>cardiovascular disease</w:t>
            </w:r>
            <w:r>
              <w:rPr>
                <w:rFonts w:eastAsia="Arial" w:cs="Arial"/>
                <w:color w:val="000000" w:themeColor="text1"/>
              </w:rPr>
              <w:t>)</w:t>
            </w:r>
          </w:p>
          <w:p w14:paraId="77FCE6E6" w14:textId="77777777" w:rsidR="003D046A" w:rsidRDefault="003D046A" w:rsidP="003D046A">
            <w:pPr>
              <w:rPr>
                <w:rFonts w:eastAsia="Arial" w:cs="Arial"/>
                <w:color w:val="000000" w:themeColor="text1"/>
              </w:rPr>
            </w:pPr>
          </w:p>
          <w:p w14:paraId="41C8F396" w14:textId="6E9FF533" w:rsidR="003D046A" w:rsidRPr="003D046A" w:rsidRDefault="003D046A" w:rsidP="003D046A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Biomarkers </w:t>
            </w:r>
            <w:r w:rsidRPr="00997FD5">
              <w:rPr>
                <w:rFonts w:eastAsia="Arial" w:cs="Arial"/>
                <w:color w:val="000000" w:themeColor="text1"/>
              </w:rPr>
              <w:t>may accelerate availability of new therapeutics</w:t>
            </w:r>
          </w:p>
        </w:tc>
        <w:tc>
          <w:tcPr>
            <w:tcW w:w="3487" w:type="dxa"/>
          </w:tcPr>
          <w:p w14:paraId="72A3D3EC" w14:textId="77777777" w:rsidR="007E20B6" w:rsidRPr="00742A78" w:rsidRDefault="007E20B6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</w:tc>
        <w:tc>
          <w:tcPr>
            <w:tcW w:w="3487" w:type="dxa"/>
          </w:tcPr>
          <w:p w14:paraId="0D0B940D" w14:textId="77777777" w:rsidR="007E20B6" w:rsidRPr="00377A27" w:rsidRDefault="007E20B6" w:rsidP="00742A78">
            <w:pPr>
              <w:pStyle w:val="Tablebody3"/>
              <w:rPr>
                <w:sz w:val="22"/>
                <w:szCs w:val="22"/>
              </w:rPr>
            </w:pPr>
          </w:p>
        </w:tc>
      </w:tr>
      <w:tr w:rsidR="398E64F1" w14:paraId="68C454E6" w14:textId="77777777" w:rsidTr="00E54C16">
        <w:trPr>
          <w:trHeight w:val="1969"/>
        </w:trPr>
        <w:tc>
          <w:tcPr>
            <w:tcW w:w="3487" w:type="dxa"/>
          </w:tcPr>
          <w:p w14:paraId="29393FF8" w14:textId="1011376B" w:rsidR="398E64F1" w:rsidRDefault="398E64F1" w:rsidP="00742A78">
            <w:pPr>
              <w:pStyle w:val="Tablehead3"/>
              <w:rPr>
                <w:b w:val="0"/>
                <w:bCs w:val="0"/>
                <w:sz w:val="22"/>
                <w:szCs w:val="22"/>
              </w:rPr>
            </w:pPr>
            <w:r w:rsidRPr="398E64F1">
              <w:rPr>
                <w:sz w:val="22"/>
                <w:szCs w:val="22"/>
              </w:rPr>
              <w:t>Remote care</w:t>
            </w:r>
          </w:p>
          <w:p w14:paraId="7CDAB017" w14:textId="0277551B" w:rsidR="398E64F1" w:rsidRDefault="398E64F1" w:rsidP="00742A78">
            <w:pPr>
              <w:pStyle w:val="Tablehead3"/>
              <w:rPr>
                <w:b w:val="0"/>
                <w:bCs w:val="0"/>
                <w:sz w:val="22"/>
                <w:szCs w:val="22"/>
              </w:rPr>
            </w:pPr>
            <w:r w:rsidRPr="398E64F1">
              <w:rPr>
                <w:b w:val="0"/>
                <w:bCs w:val="0"/>
                <w:sz w:val="22"/>
                <w:szCs w:val="22"/>
              </w:rPr>
              <w:t>Video consultations</w:t>
            </w:r>
          </w:p>
        </w:tc>
        <w:tc>
          <w:tcPr>
            <w:tcW w:w="3487" w:type="dxa"/>
          </w:tcPr>
          <w:p w14:paraId="03480C1C" w14:textId="41827D2C" w:rsidR="398E64F1" w:rsidRPr="00742A78" w:rsidRDefault="003D046A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Online/virtual</w:t>
            </w:r>
            <w:r w:rsidR="398E64F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consultations may be more appropriate for people with mobility issues</w:t>
            </w:r>
            <w: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, </w:t>
            </w:r>
            <w:r w:rsidR="398E64F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those </w:t>
            </w:r>
            <w:r w:rsidR="00150A8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who</w:t>
            </w:r>
            <w:r w:rsidR="398E64F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live in remote areas</w:t>
            </w:r>
            <w: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or for out-of-hours emergency consultations</w:t>
            </w:r>
            <w:r w:rsidR="398E64F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.</w:t>
            </w:r>
          </w:p>
          <w:p w14:paraId="081EC019" w14:textId="1088F750" w:rsidR="398E64F1" w:rsidRPr="00742A78" w:rsidRDefault="398E64F1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603F7A24" w14:textId="30141A34" w:rsidR="398E64F1" w:rsidRPr="00742A78" w:rsidRDefault="003D046A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Mobile clinics/screenings</w:t>
            </w:r>
            <w:r w:rsidR="398E64F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reduce </w:t>
            </w:r>
            <w:r w:rsidR="398E64F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lastRenderedPageBreak/>
              <w:t>travel and waiting times.</w:t>
            </w:r>
          </w:p>
        </w:tc>
        <w:tc>
          <w:tcPr>
            <w:tcW w:w="3487" w:type="dxa"/>
          </w:tcPr>
          <w:p w14:paraId="30541F08" w14:textId="4085B313" w:rsidR="398E64F1" w:rsidRPr="00742A78" w:rsidRDefault="398E64F1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lastRenderedPageBreak/>
              <w:t>Makes collaboration between different specialists easier, leading to better patient outcomes.</w:t>
            </w:r>
          </w:p>
          <w:p w14:paraId="795CB5AF" w14:textId="0E5F252E" w:rsidR="398E64F1" w:rsidRPr="00742A78" w:rsidRDefault="398E64F1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7D3292C9" w14:textId="3DAD49F4" w:rsidR="398E64F1" w:rsidRPr="00742A78" w:rsidRDefault="398E64F1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Continuity of care is facilitated by virtual ongoing monitoring and </w:t>
            </w: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lastRenderedPageBreak/>
              <w:t>follow-up consultations.</w:t>
            </w:r>
          </w:p>
        </w:tc>
        <w:tc>
          <w:tcPr>
            <w:tcW w:w="3487" w:type="dxa"/>
          </w:tcPr>
          <w:p w14:paraId="22F30A59" w14:textId="1673C53F" w:rsidR="398E64F1" w:rsidRDefault="398E64F1" w:rsidP="00742A78">
            <w:pPr>
              <w:pStyle w:val="Tablebody3"/>
              <w:rPr>
                <w:sz w:val="22"/>
                <w:szCs w:val="22"/>
              </w:rPr>
            </w:pPr>
          </w:p>
        </w:tc>
      </w:tr>
      <w:tr w:rsidR="398E64F1" w14:paraId="0A527BA5" w14:textId="77777777" w:rsidTr="00E54C16">
        <w:trPr>
          <w:trHeight w:val="1886"/>
        </w:trPr>
        <w:tc>
          <w:tcPr>
            <w:tcW w:w="3487" w:type="dxa"/>
          </w:tcPr>
          <w:p w14:paraId="5F40997A" w14:textId="1C96DE36" w:rsidR="00EC6E40" w:rsidRPr="00742A78" w:rsidRDefault="398E64F1" w:rsidP="00742A78">
            <w:pPr>
              <w:pStyle w:val="Tablehead3"/>
              <w:rPr>
                <w:sz w:val="22"/>
                <w:szCs w:val="22"/>
              </w:rPr>
            </w:pPr>
            <w:r w:rsidRPr="00742A78">
              <w:rPr>
                <w:sz w:val="22"/>
                <w:szCs w:val="22"/>
              </w:rPr>
              <w:t>Patient self-management</w:t>
            </w:r>
          </w:p>
          <w:p w14:paraId="3EE2119D" w14:textId="44B016EE" w:rsidR="00742A78" w:rsidRPr="00742A78" w:rsidRDefault="398E64F1" w:rsidP="00742A78">
            <w:pPr>
              <w:pStyle w:val="Tablehead3"/>
              <w:rPr>
                <w:b w:val="0"/>
                <w:bCs w:val="0"/>
                <w:sz w:val="22"/>
                <w:szCs w:val="22"/>
              </w:rPr>
            </w:pPr>
            <w:r w:rsidRPr="00742A78">
              <w:rPr>
                <w:b w:val="0"/>
                <w:bCs w:val="0"/>
                <w:sz w:val="22"/>
                <w:szCs w:val="22"/>
              </w:rPr>
              <w:t>Patient self-management involves identifying strategies to help patients self-manage their condition and improve their health outcomes.</w:t>
            </w:r>
          </w:p>
        </w:tc>
        <w:tc>
          <w:tcPr>
            <w:tcW w:w="3487" w:type="dxa"/>
          </w:tcPr>
          <w:p w14:paraId="2E6ADBC5" w14:textId="5E7FD757" w:rsidR="398E64F1" w:rsidRDefault="398E64F1" w:rsidP="00742A78">
            <w:pPr>
              <w:pStyle w:val="Tablebody3"/>
              <w:rPr>
                <w:sz w:val="22"/>
                <w:szCs w:val="22"/>
              </w:rPr>
            </w:pPr>
          </w:p>
        </w:tc>
        <w:tc>
          <w:tcPr>
            <w:tcW w:w="3487" w:type="dxa"/>
          </w:tcPr>
          <w:p w14:paraId="262E4973" w14:textId="77777777" w:rsidR="00706A8D" w:rsidRPr="00742A78" w:rsidRDefault="398E64F1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Effective self-management of diseases helps stretch NHS funding further by</w:t>
            </w:r>
            <w:r w:rsidR="00706A8D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:</w:t>
            </w:r>
          </w:p>
          <w:p w14:paraId="08C323E0" w14:textId="77777777" w:rsidR="00706A8D" w:rsidRPr="00742A78" w:rsidRDefault="398E64F1" w:rsidP="00742A78">
            <w:pPr>
              <w:pStyle w:val="Tablebody3"/>
              <w:numPr>
                <w:ilvl w:val="0"/>
                <w:numId w:val="34"/>
              </w:numP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reducing appointment scheduling</w:t>
            </w:r>
          </w:p>
          <w:p w14:paraId="7B4683FF" w14:textId="77777777" w:rsidR="00910BA0" w:rsidRDefault="00706A8D" w:rsidP="00910BA0">
            <w:pPr>
              <w:pStyle w:val="Tablebody3"/>
              <w:numPr>
                <w:ilvl w:val="0"/>
                <w:numId w:val="34"/>
              </w:numP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reducing </w:t>
            </w:r>
            <w:r w:rsidR="398E64F1" w:rsidRPr="00742A78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emergency visits</w:t>
            </w:r>
          </w:p>
          <w:p w14:paraId="12CC2DAC" w14:textId="1666A7F8" w:rsidR="398E64F1" w:rsidRPr="00910BA0" w:rsidRDefault="00706A8D" w:rsidP="00910BA0">
            <w:pPr>
              <w:pStyle w:val="Tablebody3"/>
              <w:numPr>
                <w:ilvl w:val="0"/>
                <w:numId w:val="34"/>
              </w:numPr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00910BA0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reducing </w:t>
            </w:r>
            <w:r w:rsidR="398E64F1" w:rsidRPr="00910BA0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hospitalisations</w:t>
            </w:r>
            <w:r w:rsidR="00150A81" w:rsidRPr="00910BA0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.</w:t>
            </w:r>
          </w:p>
        </w:tc>
        <w:tc>
          <w:tcPr>
            <w:tcW w:w="3487" w:type="dxa"/>
          </w:tcPr>
          <w:p w14:paraId="240A17F1" w14:textId="77777777" w:rsidR="398E64F1" w:rsidRDefault="398E64F1" w:rsidP="00742A78">
            <w:pPr>
              <w:pStyle w:val="Tablebody3"/>
            </w:pPr>
          </w:p>
        </w:tc>
      </w:tr>
      <w:tr w:rsidR="398E64F1" w14:paraId="1709C7EB" w14:textId="77777777" w:rsidTr="00E54C16">
        <w:trPr>
          <w:trHeight w:val="1969"/>
        </w:trPr>
        <w:tc>
          <w:tcPr>
            <w:tcW w:w="3487" w:type="dxa"/>
          </w:tcPr>
          <w:p w14:paraId="1F276589" w14:textId="77777777" w:rsidR="398E64F1" w:rsidRDefault="398E64F1" w:rsidP="00742A78">
            <w:pPr>
              <w:pStyle w:val="Tablehead3"/>
              <w:rPr>
                <w:sz w:val="22"/>
                <w:szCs w:val="22"/>
              </w:rPr>
            </w:pPr>
            <w:r w:rsidRPr="398E64F1">
              <w:rPr>
                <w:sz w:val="22"/>
                <w:szCs w:val="22"/>
              </w:rPr>
              <w:t>Artificial intelligence</w:t>
            </w:r>
          </w:p>
        </w:tc>
        <w:tc>
          <w:tcPr>
            <w:tcW w:w="3487" w:type="dxa"/>
          </w:tcPr>
          <w:p w14:paraId="501D6353" w14:textId="77777777" w:rsidR="398E64F1" w:rsidRDefault="398E64F1" w:rsidP="00742A78">
            <w:pPr>
              <w:pStyle w:val="Tablebody3"/>
            </w:pPr>
          </w:p>
        </w:tc>
        <w:tc>
          <w:tcPr>
            <w:tcW w:w="3487" w:type="dxa"/>
          </w:tcPr>
          <w:p w14:paraId="6DBA2B70" w14:textId="77777777" w:rsidR="00706A8D" w:rsidRDefault="398E64F1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Digital images and </w:t>
            </w:r>
            <w:bookmarkStart w:id="0" w:name="_Int_JXQ1FsAQ"/>
            <w:r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AI</w:t>
            </w:r>
            <w:bookmarkEnd w:id="0"/>
            <w:r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can be used to triage cases</w:t>
            </w:r>
            <w:r w:rsidR="00706A8D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,</w:t>
            </w:r>
            <w:r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 xml:space="preserve"> improving the quality and consistency of the diagnoses and therefore treatment. </w:t>
            </w:r>
          </w:p>
          <w:p w14:paraId="0AB28995" w14:textId="77777777" w:rsidR="00D61F83" w:rsidRDefault="00D61F83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</w:p>
          <w:p w14:paraId="64046007" w14:textId="7E54D01F" w:rsidR="00D61F83" w:rsidRPr="00D61F83" w:rsidRDefault="398E64F1" w:rsidP="00742A78">
            <w:pPr>
              <w:pStyle w:val="Tablebody3"/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</w:pPr>
            <w:r w:rsidRPr="398E64F1">
              <w:rPr>
                <w:rFonts w:eastAsia="Arial" w:cs="Arial"/>
                <w:color w:val="262626" w:themeColor="text1" w:themeTint="D9"/>
                <w:sz w:val="22"/>
                <w:szCs w:val="22"/>
                <w:lang w:val="en-US"/>
              </w:rPr>
              <w:t>Workflow is made more efficient.</w:t>
            </w:r>
          </w:p>
        </w:tc>
        <w:tc>
          <w:tcPr>
            <w:tcW w:w="3487" w:type="dxa"/>
          </w:tcPr>
          <w:p w14:paraId="2F242AA3" w14:textId="3E8AED12" w:rsidR="398E64F1" w:rsidRDefault="398E64F1" w:rsidP="00742A78">
            <w:pPr>
              <w:pStyle w:val="Tablebody3"/>
            </w:pPr>
          </w:p>
        </w:tc>
      </w:tr>
    </w:tbl>
    <w:p w14:paraId="4B99056E" w14:textId="77777777" w:rsidR="00D72866" w:rsidRDefault="00D72866" w:rsidP="00D72866">
      <w:pPr>
        <w:tabs>
          <w:tab w:val="left" w:pos="2429"/>
        </w:tabs>
      </w:pPr>
    </w:p>
    <w:sectPr w:rsidR="00D72866" w:rsidSect="00C56F97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D213" w14:textId="77777777" w:rsidR="00C56F97" w:rsidRDefault="00C56F97" w:rsidP="000C51BB">
      <w:pPr>
        <w:spacing w:after="0" w:line="240" w:lineRule="auto"/>
      </w:pPr>
      <w:r>
        <w:separator/>
      </w:r>
    </w:p>
  </w:endnote>
  <w:endnote w:type="continuationSeparator" w:id="0">
    <w:p w14:paraId="729D25A0" w14:textId="77777777" w:rsidR="00C56F97" w:rsidRDefault="00C56F9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13991" w:type="dxa"/>
      <w:tblInd w:w="0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8"/>
      <w:gridCol w:w="7463"/>
    </w:tblGrid>
    <w:tr w:rsidR="00E54C16" w14:paraId="7CEF725C" w14:textId="77777777" w:rsidTr="00E54C16">
      <w:trPr>
        <w:trHeight w:val="236"/>
      </w:trPr>
      <w:tc>
        <w:tcPr>
          <w:tcW w:w="1399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1F8CF067" w14:textId="26A2C533" w:rsidR="00E54C16" w:rsidRDefault="00E54C16" w:rsidP="00E54C16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910BA0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E54C16" w14:paraId="379516FA" w14:textId="77777777" w:rsidTr="00F60441">
      <w:trPr>
        <w:trHeight w:val="397"/>
      </w:trPr>
      <w:tc>
        <w:tcPr>
          <w:tcW w:w="6528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0903368D" w14:textId="77777777" w:rsidR="00E54C16" w:rsidRDefault="00E54C16" w:rsidP="00E54C16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7463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5B506DE7" w14:textId="77777777" w:rsidR="00E54C16" w:rsidRDefault="00E54C16" w:rsidP="00E54C16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34CE0A41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2903CBC8" w14:textId="77777777" w:rsidR="004635D4" w:rsidRPr="00CE4D8E" w:rsidRDefault="00EF13A6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CE4D8E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DA131A">
      <w:rPr>
        <w:noProof/>
        <w:color w:val="808080" w:themeColor="background1" w:themeShade="80"/>
        <w:sz w:val="20"/>
        <w:szCs w:val="20"/>
      </w:rPr>
      <w:t>2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14254" w:type="dxa"/>
      <w:tblInd w:w="0" w:type="dxa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1"/>
      <w:gridCol w:w="7603"/>
    </w:tblGrid>
    <w:tr w:rsidR="00E54C16" w14:paraId="08393172" w14:textId="77777777" w:rsidTr="00E54C16">
      <w:trPr>
        <w:trHeight w:val="236"/>
      </w:trPr>
      <w:tc>
        <w:tcPr>
          <w:tcW w:w="14254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1096E76E" w14:textId="7355336D" w:rsidR="00E54C16" w:rsidRDefault="00E54C16" w:rsidP="00E54C16">
          <w:pPr>
            <w:pStyle w:val="Header"/>
            <w:spacing w:after="120"/>
            <w:rPr>
              <w:rFonts w:cs="Arial"/>
              <w:noProof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Health &amp; Science: </w:t>
          </w:r>
          <w:r>
            <w:rPr>
              <w:rFonts w:cs="Arial"/>
              <w:noProof/>
              <w:sz w:val="20"/>
              <w:szCs w:val="20"/>
            </w:rPr>
            <w:t>Working within the health and science sector</w:t>
          </w:r>
          <w:r w:rsidR="00910BA0">
            <w:rPr>
              <w:rFonts w:cs="Arial"/>
              <w:noProof/>
              <w:sz w:val="20"/>
              <w:szCs w:val="20"/>
            </w:rPr>
            <w:t>s</w:t>
          </w:r>
          <w:r>
            <w:rPr>
              <w:rFonts w:cs="Arial"/>
              <w:noProof/>
              <w:sz w:val="20"/>
              <w:szCs w:val="20"/>
            </w:rPr>
            <w:t xml:space="preserve"> (Health)</w:t>
          </w:r>
        </w:p>
      </w:tc>
    </w:tr>
    <w:tr w:rsidR="00E54C16" w14:paraId="1AC66E0A" w14:textId="77777777" w:rsidTr="00F60441">
      <w:trPr>
        <w:trHeight w:val="397"/>
      </w:trPr>
      <w:tc>
        <w:tcPr>
          <w:tcW w:w="6651" w:type="dxa"/>
          <w:tcBorders>
            <w:top w:val="nil"/>
            <w:left w:val="nil"/>
            <w:bottom w:val="single" w:sz="12" w:space="0" w:color="E2EEBE"/>
            <w:right w:val="nil"/>
          </w:tcBorders>
          <w:hideMark/>
        </w:tcPr>
        <w:p w14:paraId="152A84A9" w14:textId="77777777" w:rsidR="00E54C16" w:rsidRDefault="00E54C16" w:rsidP="00E54C16">
          <w:pPr>
            <w:pStyle w:val="Header"/>
            <w:spacing w:after="120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Version 1, January 2024</w:t>
          </w:r>
        </w:p>
      </w:tc>
      <w:tc>
        <w:tcPr>
          <w:tcW w:w="7603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  <w:hideMark/>
        </w:tcPr>
        <w:p w14:paraId="1B2FFB3F" w14:textId="77777777" w:rsidR="00E54C16" w:rsidRDefault="00E54C16" w:rsidP="00E54C16">
          <w:pPr>
            <w:pStyle w:val="Header"/>
            <w:spacing w:after="120"/>
            <w:jc w:val="righ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© Gatsby Technical Education Projects 2024</w:t>
          </w:r>
        </w:p>
      </w:tc>
    </w:tr>
  </w:tbl>
  <w:p w14:paraId="3CF2D8B6" w14:textId="77777777" w:rsidR="003133F6" w:rsidRDefault="003133F6" w:rsidP="003133F6">
    <w:pPr>
      <w:pStyle w:val="Footer"/>
      <w:jc w:val="right"/>
      <w:rPr>
        <w:sz w:val="20"/>
        <w:szCs w:val="20"/>
      </w:rPr>
    </w:pPr>
  </w:p>
  <w:p w14:paraId="0FB78278" w14:textId="3C68E7AF" w:rsidR="0099395B" w:rsidRPr="003133F6" w:rsidRDefault="00EF13A6" w:rsidP="00E54C16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3133F6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DA131A">
      <w:rPr>
        <w:noProof/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AE78" w14:textId="77777777" w:rsidR="00C56F97" w:rsidRDefault="00C56F97" w:rsidP="000C51BB">
      <w:pPr>
        <w:spacing w:after="0" w:line="240" w:lineRule="auto"/>
      </w:pPr>
      <w:r>
        <w:separator/>
      </w:r>
    </w:p>
  </w:footnote>
  <w:footnote w:type="continuationSeparator" w:id="0">
    <w:p w14:paraId="06835B34" w14:textId="77777777" w:rsidR="00C56F97" w:rsidRDefault="00C56F9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1624"/>
    </w:tblGrid>
    <w:tr w:rsidR="003133F6" w14:paraId="3C014FE6" w14:textId="77777777" w:rsidTr="00F60441">
      <w:tc>
        <w:tcPr>
          <w:tcW w:w="2268" w:type="dxa"/>
          <w:tcBorders>
            <w:bottom w:val="single" w:sz="12" w:space="0" w:color="E2EEBE"/>
          </w:tcBorders>
        </w:tcPr>
        <w:p w14:paraId="3B534D64" w14:textId="77777777" w:rsidR="003133F6" w:rsidRDefault="003133F6" w:rsidP="003133F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326E318" wp14:editId="07777777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2095584204" name="Picture 209558420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tcBorders>
            <w:bottom w:val="single" w:sz="12" w:space="0" w:color="E2EEBE"/>
          </w:tcBorders>
        </w:tcPr>
        <w:p w14:paraId="7D3E13DC" w14:textId="77777777" w:rsidR="005F6610" w:rsidRDefault="005F6610" w:rsidP="005F6610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930300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 xml:space="preserve">: </w:t>
          </w:r>
          <w:r>
            <w:rPr>
              <w:color w:val="0D0D0D"/>
              <w:sz w:val="20"/>
              <w:szCs w:val="20"/>
            </w:rPr>
            <w:t>Potential impacts of future developments in the healthcare sector</w:t>
          </w:r>
        </w:p>
        <w:p w14:paraId="4A256A23" w14:textId="77777777" w:rsidR="003133F6" w:rsidRDefault="003133F6" w:rsidP="003133F6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</w:tbl>
  <w:p w14:paraId="6D98A12B" w14:textId="77777777" w:rsidR="00041F60" w:rsidRPr="00341104" w:rsidRDefault="00041F60" w:rsidP="00341104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1624"/>
    </w:tblGrid>
    <w:tr w:rsidR="003821ED" w14:paraId="378B8DC5" w14:textId="77777777" w:rsidTr="00F60441">
      <w:tc>
        <w:tcPr>
          <w:tcW w:w="2268" w:type="dxa"/>
          <w:tcBorders>
            <w:bottom w:val="single" w:sz="12" w:space="0" w:color="E2EEBE"/>
          </w:tcBorders>
        </w:tcPr>
        <w:p w14:paraId="6B859CEA" w14:textId="77777777" w:rsidR="003821ED" w:rsidRDefault="003821ED" w:rsidP="003821ED">
          <w:pPr>
            <w:pStyle w:val="Header"/>
            <w:spacing w:after="120"/>
            <w:rPr>
              <w:sz w:val="20"/>
              <w:szCs w:val="20"/>
            </w:rPr>
          </w:pPr>
          <w:bookmarkStart w:id="1" w:name="_Hlk138416114"/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57216" behindDoc="0" locked="0" layoutInCell="1" allowOverlap="1" wp14:anchorId="5B61E64B" wp14:editId="07777777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631374287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tcBorders>
            <w:bottom w:val="single" w:sz="12" w:space="0" w:color="E2EEBE"/>
          </w:tcBorders>
        </w:tcPr>
        <w:p w14:paraId="615BAF0B" w14:textId="77777777" w:rsidR="003821ED" w:rsidRDefault="003821ED" w:rsidP="003821E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930300">
            <w:rPr>
              <w:sz w:val="20"/>
              <w:szCs w:val="20"/>
            </w:rPr>
            <w:t>5</w:t>
          </w:r>
          <w:r w:rsidR="005F6610">
            <w:rPr>
              <w:sz w:val="20"/>
              <w:szCs w:val="20"/>
            </w:rPr>
            <w:t xml:space="preserve">: </w:t>
          </w:r>
          <w:r w:rsidR="005F6610">
            <w:rPr>
              <w:color w:val="0D0D0D"/>
              <w:sz w:val="20"/>
              <w:szCs w:val="20"/>
            </w:rPr>
            <w:t>Potential impacts of future developments in the healthcare sector</w:t>
          </w:r>
        </w:p>
        <w:p w14:paraId="440327CA" w14:textId="77777777" w:rsidR="003821ED" w:rsidRDefault="003821ED" w:rsidP="003821ED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  <w:bookmarkEnd w:id="1"/>
  </w:tbl>
  <w:p w14:paraId="62EBF3C5" w14:textId="77777777" w:rsidR="00041F60" w:rsidRPr="003821ED" w:rsidRDefault="00041F60" w:rsidP="00382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F7FF"/>
    <w:multiLevelType w:val="hybridMultilevel"/>
    <w:tmpl w:val="4FE47202"/>
    <w:lvl w:ilvl="0" w:tplc="191EE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6C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21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C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E4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E0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C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05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68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FD69"/>
    <w:multiLevelType w:val="hybridMultilevel"/>
    <w:tmpl w:val="33246004"/>
    <w:lvl w:ilvl="0" w:tplc="D4041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6F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83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4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EE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6B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E2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00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EC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81B1"/>
    <w:multiLevelType w:val="hybridMultilevel"/>
    <w:tmpl w:val="1F4C0D76"/>
    <w:lvl w:ilvl="0" w:tplc="D89A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C4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81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3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2E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47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4F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F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C1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75E2"/>
    <w:multiLevelType w:val="hybridMultilevel"/>
    <w:tmpl w:val="AE28E03A"/>
    <w:lvl w:ilvl="0" w:tplc="D340F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84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6C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B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AC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8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46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0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E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0EB2"/>
    <w:multiLevelType w:val="hybridMultilevel"/>
    <w:tmpl w:val="D4E8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414800"/>
    <w:multiLevelType w:val="hybridMultilevel"/>
    <w:tmpl w:val="31F4B396"/>
    <w:lvl w:ilvl="0" w:tplc="2C062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AC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0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E7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CD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07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A9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8B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85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CC22D"/>
    <w:multiLevelType w:val="hybridMultilevel"/>
    <w:tmpl w:val="AFC24376"/>
    <w:lvl w:ilvl="0" w:tplc="5B2C3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E6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CC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F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AB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82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64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C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0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E3F6E"/>
    <w:multiLevelType w:val="hybridMultilevel"/>
    <w:tmpl w:val="DFBA7204"/>
    <w:lvl w:ilvl="0" w:tplc="6EDC8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004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8D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42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6E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29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89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42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C0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E6121"/>
    <w:multiLevelType w:val="hybridMultilevel"/>
    <w:tmpl w:val="17CC7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03630"/>
    <w:multiLevelType w:val="hybridMultilevel"/>
    <w:tmpl w:val="3460B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2A797"/>
    <w:multiLevelType w:val="hybridMultilevel"/>
    <w:tmpl w:val="1A00B828"/>
    <w:lvl w:ilvl="0" w:tplc="7ADE0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CC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66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6C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6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6E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4C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64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4D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07DEB"/>
    <w:multiLevelType w:val="hybridMultilevel"/>
    <w:tmpl w:val="D5BE8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816729">
    <w:abstractNumId w:val="12"/>
  </w:num>
  <w:num w:numId="2" w16cid:durableId="894270320">
    <w:abstractNumId w:val="13"/>
  </w:num>
  <w:num w:numId="3" w16cid:durableId="251165845">
    <w:abstractNumId w:val="11"/>
  </w:num>
  <w:num w:numId="4" w16cid:durableId="1264533529">
    <w:abstractNumId w:val="2"/>
  </w:num>
  <w:num w:numId="5" w16cid:durableId="1505167398">
    <w:abstractNumId w:val="5"/>
  </w:num>
  <w:num w:numId="6" w16cid:durableId="567346818">
    <w:abstractNumId w:val="0"/>
  </w:num>
  <w:num w:numId="7" w16cid:durableId="1267926526">
    <w:abstractNumId w:val="1"/>
  </w:num>
  <w:num w:numId="8" w16cid:durableId="1898468228">
    <w:abstractNumId w:val="30"/>
  </w:num>
  <w:num w:numId="9" w16cid:durableId="1251550721">
    <w:abstractNumId w:val="18"/>
  </w:num>
  <w:num w:numId="10" w16cid:durableId="754320530">
    <w:abstractNumId w:val="10"/>
  </w:num>
  <w:num w:numId="11" w16cid:durableId="1130905198">
    <w:abstractNumId w:val="23"/>
  </w:num>
  <w:num w:numId="12" w16cid:durableId="1145439577">
    <w:abstractNumId w:val="25"/>
  </w:num>
  <w:num w:numId="13" w16cid:durableId="1843856837">
    <w:abstractNumId w:val="7"/>
  </w:num>
  <w:num w:numId="14" w16cid:durableId="1676687260">
    <w:abstractNumId w:val="21"/>
  </w:num>
  <w:num w:numId="15" w16cid:durableId="358091355">
    <w:abstractNumId w:val="28"/>
  </w:num>
  <w:num w:numId="16" w16cid:durableId="236861790">
    <w:abstractNumId w:val="17"/>
  </w:num>
  <w:num w:numId="17" w16cid:durableId="1513105261">
    <w:abstractNumId w:val="8"/>
  </w:num>
  <w:num w:numId="18" w16cid:durableId="1710688783">
    <w:abstractNumId w:val="19"/>
  </w:num>
  <w:num w:numId="19" w16cid:durableId="1788162468">
    <w:abstractNumId w:val="27"/>
  </w:num>
  <w:num w:numId="20" w16cid:durableId="812523399">
    <w:abstractNumId w:val="14"/>
  </w:num>
  <w:num w:numId="21" w16cid:durableId="62988334">
    <w:abstractNumId w:val="31"/>
  </w:num>
  <w:num w:numId="22" w16cid:durableId="38364643">
    <w:abstractNumId w:val="20"/>
  </w:num>
  <w:num w:numId="23" w16cid:durableId="789474539">
    <w:abstractNumId w:val="16"/>
  </w:num>
  <w:num w:numId="24" w16cid:durableId="23529951">
    <w:abstractNumId w:val="29"/>
  </w:num>
  <w:num w:numId="25" w16cid:durableId="1419908572">
    <w:abstractNumId w:val="15"/>
  </w:num>
  <w:num w:numId="26" w16cid:durableId="1709795915">
    <w:abstractNumId w:val="3"/>
  </w:num>
  <w:num w:numId="27" w16cid:durableId="1906835906">
    <w:abstractNumId w:val="4"/>
  </w:num>
  <w:num w:numId="28" w16cid:durableId="1485899273">
    <w:abstractNumId w:val="24"/>
  </w:num>
  <w:num w:numId="29" w16cid:durableId="1304386649">
    <w:abstractNumId w:val="9"/>
  </w:num>
  <w:num w:numId="30" w16cid:durableId="212470381">
    <w:abstractNumId w:val="32"/>
  </w:num>
  <w:num w:numId="31" w16cid:durableId="1589387963">
    <w:abstractNumId w:val="6"/>
  </w:num>
  <w:num w:numId="32" w16cid:durableId="1519657704">
    <w:abstractNumId w:val="26"/>
  </w:num>
  <w:num w:numId="33" w16cid:durableId="770709453">
    <w:abstractNumId w:val="22"/>
  </w:num>
  <w:num w:numId="34" w16cid:durableId="15662573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xNDA1MbCwNLM0MDRQ0lEKTi0uzszPAykwrgUAmcCS3CwAAAA="/>
  </w:docVars>
  <w:rsids>
    <w:rsidRoot w:val="000C51BB"/>
    <w:rsid w:val="000105AB"/>
    <w:rsid w:val="00032D82"/>
    <w:rsid w:val="000361B9"/>
    <w:rsid w:val="00041B75"/>
    <w:rsid w:val="00041F60"/>
    <w:rsid w:val="000470E0"/>
    <w:rsid w:val="0005789E"/>
    <w:rsid w:val="00083A47"/>
    <w:rsid w:val="000C51BB"/>
    <w:rsid w:val="000D113C"/>
    <w:rsid w:val="000F0146"/>
    <w:rsid w:val="0011014F"/>
    <w:rsid w:val="0011402F"/>
    <w:rsid w:val="00142E67"/>
    <w:rsid w:val="00150A81"/>
    <w:rsid w:val="0015537E"/>
    <w:rsid w:val="00157267"/>
    <w:rsid w:val="00164D0C"/>
    <w:rsid w:val="0016745C"/>
    <w:rsid w:val="001B29B6"/>
    <w:rsid w:val="00260E07"/>
    <w:rsid w:val="002C7D5F"/>
    <w:rsid w:val="003133F6"/>
    <w:rsid w:val="00326CAD"/>
    <w:rsid w:val="00341104"/>
    <w:rsid w:val="00377A27"/>
    <w:rsid w:val="003821ED"/>
    <w:rsid w:val="003B319C"/>
    <w:rsid w:val="003D046A"/>
    <w:rsid w:val="003D46AC"/>
    <w:rsid w:val="00406F63"/>
    <w:rsid w:val="00445C22"/>
    <w:rsid w:val="004635D4"/>
    <w:rsid w:val="00464106"/>
    <w:rsid w:val="0048092F"/>
    <w:rsid w:val="004A24E6"/>
    <w:rsid w:val="004F4859"/>
    <w:rsid w:val="00516337"/>
    <w:rsid w:val="00573481"/>
    <w:rsid w:val="005F6610"/>
    <w:rsid w:val="00631951"/>
    <w:rsid w:val="00643AB3"/>
    <w:rsid w:val="00671231"/>
    <w:rsid w:val="006C1303"/>
    <w:rsid w:val="006C2798"/>
    <w:rsid w:val="006D655E"/>
    <w:rsid w:val="00706A8D"/>
    <w:rsid w:val="00706B6D"/>
    <w:rsid w:val="00707451"/>
    <w:rsid w:val="00742A78"/>
    <w:rsid w:val="00770D34"/>
    <w:rsid w:val="007E20B6"/>
    <w:rsid w:val="00856914"/>
    <w:rsid w:val="00886927"/>
    <w:rsid w:val="00891891"/>
    <w:rsid w:val="008D6221"/>
    <w:rsid w:val="008E7C66"/>
    <w:rsid w:val="00901212"/>
    <w:rsid w:val="00910BA0"/>
    <w:rsid w:val="00930300"/>
    <w:rsid w:val="0093711C"/>
    <w:rsid w:val="00945E0D"/>
    <w:rsid w:val="00961A77"/>
    <w:rsid w:val="0099395B"/>
    <w:rsid w:val="009B41A8"/>
    <w:rsid w:val="009C136F"/>
    <w:rsid w:val="009E728B"/>
    <w:rsid w:val="00A17EBD"/>
    <w:rsid w:val="00AB0EBC"/>
    <w:rsid w:val="00AF5F43"/>
    <w:rsid w:val="00B255C7"/>
    <w:rsid w:val="00B46870"/>
    <w:rsid w:val="00B601A7"/>
    <w:rsid w:val="00B856C4"/>
    <w:rsid w:val="00C348E4"/>
    <w:rsid w:val="00C44D0E"/>
    <w:rsid w:val="00C56F97"/>
    <w:rsid w:val="00C807DD"/>
    <w:rsid w:val="00CE4D8E"/>
    <w:rsid w:val="00D61F83"/>
    <w:rsid w:val="00D72866"/>
    <w:rsid w:val="00D76981"/>
    <w:rsid w:val="00DA131A"/>
    <w:rsid w:val="00DB18AE"/>
    <w:rsid w:val="00E1224B"/>
    <w:rsid w:val="00E5159C"/>
    <w:rsid w:val="00E54C16"/>
    <w:rsid w:val="00E62828"/>
    <w:rsid w:val="00E73572"/>
    <w:rsid w:val="00E87142"/>
    <w:rsid w:val="00EC6E40"/>
    <w:rsid w:val="00ED1AD4"/>
    <w:rsid w:val="00EE61A9"/>
    <w:rsid w:val="00EE6E45"/>
    <w:rsid w:val="00EF13A6"/>
    <w:rsid w:val="00F112FA"/>
    <w:rsid w:val="00F167DC"/>
    <w:rsid w:val="00F60441"/>
    <w:rsid w:val="00FC7501"/>
    <w:rsid w:val="00FC7FB4"/>
    <w:rsid w:val="00FF712E"/>
    <w:rsid w:val="02982C54"/>
    <w:rsid w:val="02D250FE"/>
    <w:rsid w:val="046E215F"/>
    <w:rsid w:val="05B51628"/>
    <w:rsid w:val="0609F1C0"/>
    <w:rsid w:val="06B93F11"/>
    <w:rsid w:val="0797A3E0"/>
    <w:rsid w:val="08FABCCD"/>
    <w:rsid w:val="0B3FA57C"/>
    <w:rsid w:val="0BE88BC8"/>
    <w:rsid w:val="0EC450F6"/>
    <w:rsid w:val="0FA09FE6"/>
    <w:rsid w:val="103C92E4"/>
    <w:rsid w:val="11D86345"/>
    <w:rsid w:val="12EB7BA6"/>
    <w:rsid w:val="137433A6"/>
    <w:rsid w:val="15C6766B"/>
    <w:rsid w:val="16041DC3"/>
    <w:rsid w:val="16ABD468"/>
    <w:rsid w:val="16FD1E80"/>
    <w:rsid w:val="1847A4C9"/>
    <w:rsid w:val="1A2432A1"/>
    <w:rsid w:val="1ACDCC6E"/>
    <w:rsid w:val="1B4E241B"/>
    <w:rsid w:val="1BA8DAAD"/>
    <w:rsid w:val="1BC00302"/>
    <w:rsid w:val="2132F67B"/>
    <w:rsid w:val="2150DFB7"/>
    <w:rsid w:val="21B66F47"/>
    <w:rsid w:val="24888079"/>
    <w:rsid w:val="26E3D668"/>
    <w:rsid w:val="27713BE4"/>
    <w:rsid w:val="280E2E83"/>
    <w:rsid w:val="293E4CDE"/>
    <w:rsid w:val="295BF19C"/>
    <w:rsid w:val="2BC88DF5"/>
    <w:rsid w:val="2C76FDD3"/>
    <w:rsid w:val="2D645E56"/>
    <w:rsid w:val="2DC92FAA"/>
    <w:rsid w:val="2DE74313"/>
    <w:rsid w:val="2E0BD44C"/>
    <w:rsid w:val="2E97C500"/>
    <w:rsid w:val="3100D06C"/>
    <w:rsid w:val="316EF107"/>
    <w:rsid w:val="33AD228A"/>
    <w:rsid w:val="36316F54"/>
    <w:rsid w:val="367576FC"/>
    <w:rsid w:val="37D419D1"/>
    <w:rsid w:val="37DE328B"/>
    <w:rsid w:val="398E64F1"/>
    <w:rsid w:val="3A39887A"/>
    <w:rsid w:val="3B7B59D5"/>
    <w:rsid w:val="3C946EBE"/>
    <w:rsid w:val="3FE94470"/>
    <w:rsid w:val="4270CD98"/>
    <w:rsid w:val="439C7A88"/>
    <w:rsid w:val="43D2C656"/>
    <w:rsid w:val="4470A3C9"/>
    <w:rsid w:val="44D73130"/>
    <w:rsid w:val="44E75535"/>
    <w:rsid w:val="45384AE9"/>
    <w:rsid w:val="4D17015C"/>
    <w:rsid w:val="4EB6F50A"/>
    <w:rsid w:val="5411A392"/>
    <w:rsid w:val="55A83248"/>
    <w:rsid w:val="56F22C9A"/>
    <w:rsid w:val="580E80C6"/>
    <w:rsid w:val="5BC59DBD"/>
    <w:rsid w:val="5CAFE466"/>
    <w:rsid w:val="5CCA30ED"/>
    <w:rsid w:val="6089F385"/>
    <w:rsid w:val="6505304F"/>
    <w:rsid w:val="669D3634"/>
    <w:rsid w:val="672E2978"/>
    <w:rsid w:val="69DF74F5"/>
    <w:rsid w:val="6A717DD4"/>
    <w:rsid w:val="6AC82D4A"/>
    <w:rsid w:val="6C2DF73E"/>
    <w:rsid w:val="6EB3C5C9"/>
    <w:rsid w:val="6F6E80AA"/>
    <w:rsid w:val="6FF8A159"/>
    <w:rsid w:val="7262322F"/>
    <w:rsid w:val="75A4F23D"/>
    <w:rsid w:val="77D091CA"/>
    <w:rsid w:val="79F39F86"/>
    <w:rsid w:val="7E40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F3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17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0B6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0B6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B6"/>
    <w:rPr>
      <w:rFonts w:ascii="Tahoma" w:hAnsi="Tahoma" w:cs="Tahoma"/>
      <w:color w:val="0D0D0D" w:themeColor="text1" w:themeTint="F2"/>
      <w:sz w:val="16"/>
      <w:szCs w:val="16"/>
    </w:rPr>
  </w:style>
  <w:style w:type="table" w:styleId="TableGridLight">
    <w:name w:val="Grid Table Light"/>
    <w:basedOn w:val="TableNormal"/>
    <w:uiPriority w:val="40"/>
    <w:rsid w:val="00E54C1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28B09-2296-401B-A5FE-530364EEA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384A3-42F7-493C-9A9E-E9794935B9E3}"/>
</file>

<file path=customXml/itemProps3.xml><?xml version="1.0" encoding="utf-8"?>
<ds:datastoreItem xmlns:ds="http://schemas.openxmlformats.org/officeDocument/2006/customXml" ds:itemID="{2EB271D9-D502-40E3-B4BB-C23AAFD3AD62}"/>
</file>

<file path=customXml/itemProps4.xml><?xml version="1.0" encoding="utf-8"?>
<ds:datastoreItem xmlns:ds="http://schemas.openxmlformats.org/officeDocument/2006/customXml" ds:itemID="{EE06BDE1-FEA7-493C-ADB5-6C9202E30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2024-03-01T12:38:00Z</dcterms:created>
  <dcterms:modified xsi:type="dcterms:W3CDTF">2024-03-01T12:38:00Z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