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47395210" w:rsidR="00EE61A9" w:rsidRPr="002F3BD5" w:rsidRDefault="00F239B3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2F3BD5">
        <w:rPr>
          <w:rFonts w:cs="Arial"/>
        </w:rPr>
        <w:t>Activity 1: Using a SOP</w:t>
      </w:r>
    </w:p>
    <w:p w14:paraId="79098816" w14:textId="0911FF91" w:rsidR="00F239B3" w:rsidRPr="002F3BD5" w:rsidRDefault="00F239B3" w:rsidP="009D37C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2F3BD5">
        <w:rPr>
          <w:rFonts w:cs="Arial"/>
          <w:b/>
          <w:sz w:val="32"/>
          <w:szCs w:val="24"/>
        </w:rPr>
        <w:t xml:space="preserve">Standard </w:t>
      </w:r>
      <w:r w:rsidR="0028309A" w:rsidRPr="002F3BD5">
        <w:rPr>
          <w:rFonts w:cs="Arial"/>
          <w:b/>
          <w:sz w:val="32"/>
          <w:szCs w:val="24"/>
        </w:rPr>
        <w:t>o</w:t>
      </w:r>
      <w:r w:rsidRPr="002F3BD5">
        <w:rPr>
          <w:rFonts w:cs="Arial"/>
          <w:b/>
          <w:sz w:val="32"/>
          <w:szCs w:val="24"/>
        </w:rPr>
        <w:t xml:space="preserve">perating </w:t>
      </w:r>
      <w:r w:rsidR="0028309A" w:rsidRPr="002F3BD5">
        <w:rPr>
          <w:rFonts w:cs="Arial"/>
          <w:b/>
          <w:sz w:val="32"/>
          <w:szCs w:val="24"/>
        </w:rPr>
        <w:t>p</w:t>
      </w:r>
      <w:r w:rsidRPr="002F3BD5">
        <w:rPr>
          <w:rFonts w:cs="Arial"/>
          <w:b/>
          <w:sz w:val="32"/>
          <w:szCs w:val="24"/>
        </w:rPr>
        <w:t xml:space="preserve">rocedure </w:t>
      </w:r>
      <w:r w:rsidR="0028309A" w:rsidRPr="002F3BD5">
        <w:rPr>
          <w:rFonts w:cs="Arial"/>
          <w:b/>
          <w:sz w:val="32"/>
          <w:szCs w:val="24"/>
        </w:rPr>
        <w:t>f</w:t>
      </w:r>
      <w:r w:rsidRPr="002F3BD5">
        <w:rPr>
          <w:rFonts w:cs="Arial"/>
          <w:b/>
          <w:sz w:val="32"/>
          <w:szCs w:val="24"/>
        </w:rPr>
        <w:t>or:</w:t>
      </w:r>
      <w:r w:rsidR="009D37CA" w:rsidRPr="002F3BD5">
        <w:rPr>
          <w:rFonts w:cs="Arial"/>
          <w:b/>
          <w:sz w:val="32"/>
          <w:szCs w:val="24"/>
        </w:rPr>
        <w:br/>
      </w:r>
      <w:r w:rsidRPr="002F3BD5">
        <w:rPr>
          <w:rFonts w:cs="Arial"/>
          <w:b/>
          <w:sz w:val="32"/>
          <w:szCs w:val="24"/>
        </w:rPr>
        <w:t>Producing drug X</w:t>
      </w:r>
    </w:p>
    <w:p w14:paraId="7DB6AAE6" w14:textId="77777777" w:rsidR="00F239B3" w:rsidRPr="002F3BD5" w:rsidRDefault="00F239B3" w:rsidP="00F239B3">
      <w:pPr>
        <w:spacing w:after="0"/>
        <w:rPr>
          <w:rFonts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39B3" w:rsidRPr="002F3BD5" w14:paraId="6E8687A2" w14:textId="77777777" w:rsidTr="00F239B3">
        <w:trPr>
          <w:trHeight w:val="481"/>
        </w:trPr>
        <w:tc>
          <w:tcPr>
            <w:tcW w:w="9351" w:type="dxa"/>
            <w:vAlign w:val="center"/>
          </w:tcPr>
          <w:p w14:paraId="63C743F2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Purpose: </w:t>
            </w:r>
          </w:p>
        </w:tc>
      </w:tr>
      <w:tr w:rsidR="00F239B3" w:rsidRPr="002F3BD5" w14:paraId="4FE7F201" w14:textId="77777777" w:rsidTr="00F239B3">
        <w:trPr>
          <w:trHeight w:val="631"/>
        </w:trPr>
        <w:tc>
          <w:tcPr>
            <w:tcW w:w="9351" w:type="dxa"/>
            <w:vAlign w:val="center"/>
          </w:tcPr>
          <w:p w14:paraId="3A0E4132" w14:textId="3F74E432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To produce drug X</w:t>
            </w:r>
            <w:r w:rsidR="0028309A" w:rsidRPr="002F3BD5">
              <w:rPr>
                <w:rFonts w:cs="Arial"/>
              </w:rPr>
              <w:t xml:space="preserve">: </w:t>
            </w:r>
            <w:r w:rsidRPr="002F3BD5">
              <w:rPr>
                <w:rFonts w:cs="Arial"/>
              </w:rPr>
              <w:t xml:space="preserve">an antacid liquid used in the treatment of indigestion. The drug is made by reacting </w:t>
            </w:r>
            <w:r w:rsidR="00294961" w:rsidRPr="002F3BD5">
              <w:rPr>
                <w:rFonts w:cs="Arial"/>
              </w:rPr>
              <w:t>sodium hydroxide</w:t>
            </w:r>
            <w:r w:rsidRPr="002F3BD5">
              <w:rPr>
                <w:rFonts w:cs="Arial"/>
              </w:rPr>
              <w:t xml:space="preserve"> </w:t>
            </w:r>
            <w:r w:rsidR="00294961" w:rsidRPr="002F3BD5">
              <w:rPr>
                <w:rFonts w:cs="Arial"/>
              </w:rPr>
              <w:t>(Na</w:t>
            </w:r>
            <w:r w:rsidRPr="002F3BD5">
              <w:rPr>
                <w:rFonts w:cs="Arial"/>
              </w:rPr>
              <w:t>OH</w:t>
            </w:r>
            <w:r w:rsidR="00294961" w:rsidRPr="002F3BD5">
              <w:rPr>
                <w:rFonts w:cs="Arial"/>
              </w:rPr>
              <w:t>)</w:t>
            </w:r>
            <w:r w:rsidRPr="002F3BD5">
              <w:rPr>
                <w:rFonts w:cs="Arial"/>
                <w:vertAlign w:val="subscript"/>
              </w:rPr>
              <w:t xml:space="preserve"> </w:t>
            </w:r>
            <w:r w:rsidRPr="002F3BD5">
              <w:rPr>
                <w:rFonts w:cs="Arial"/>
              </w:rPr>
              <w:t>and ethanoic acid (CH</w:t>
            </w:r>
            <w:r w:rsidRPr="002F3BD5">
              <w:rPr>
                <w:rFonts w:cs="Arial"/>
                <w:vertAlign w:val="subscript"/>
              </w:rPr>
              <w:t>3</w:t>
            </w:r>
            <w:r w:rsidRPr="002F3BD5">
              <w:rPr>
                <w:rFonts w:cs="Arial"/>
              </w:rPr>
              <w:t>COOH).</w:t>
            </w:r>
          </w:p>
        </w:tc>
      </w:tr>
      <w:tr w:rsidR="00F239B3" w:rsidRPr="002F3BD5" w14:paraId="68941C08" w14:textId="77777777" w:rsidTr="00F239B3">
        <w:trPr>
          <w:trHeight w:val="497"/>
        </w:trPr>
        <w:tc>
          <w:tcPr>
            <w:tcW w:w="9351" w:type="dxa"/>
            <w:vAlign w:val="center"/>
          </w:tcPr>
          <w:p w14:paraId="103BFE36" w14:textId="77777777" w:rsidR="00F239B3" w:rsidRPr="002F3BD5" w:rsidRDefault="00F239B3" w:rsidP="00EC1512">
            <w:pPr>
              <w:pStyle w:val="Tablehead1"/>
              <w:rPr>
                <w:rFonts w:cs="Arial"/>
                <w:i/>
                <w:sz w:val="18"/>
                <w:szCs w:val="18"/>
              </w:rPr>
            </w:pPr>
            <w:r w:rsidRPr="002F3BD5">
              <w:rPr>
                <w:rFonts w:cs="Arial"/>
              </w:rPr>
              <w:t>Scope:</w:t>
            </w:r>
          </w:p>
        </w:tc>
      </w:tr>
      <w:tr w:rsidR="00F239B3" w:rsidRPr="002F3BD5" w14:paraId="5FC514C1" w14:textId="77777777" w:rsidTr="00F239B3">
        <w:trPr>
          <w:trHeight w:val="684"/>
        </w:trPr>
        <w:tc>
          <w:tcPr>
            <w:tcW w:w="9351" w:type="dxa"/>
            <w:vAlign w:val="center"/>
          </w:tcPr>
          <w:p w14:paraId="15044483" w14:textId="77777777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To be used by pharmacists, drug preparation laboratory technicians and for quality control in the manufacture of drug X.</w:t>
            </w:r>
          </w:p>
        </w:tc>
      </w:tr>
      <w:tr w:rsidR="00F239B3" w:rsidRPr="002F3BD5" w14:paraId="4AD1BF2A" w14:textId="77777777" w:rsidTr="00F239B3">
        <w:trPr>
          <w:trHeight w:val="557"/>
        </w:trPr>
        <w:tc>
          <w:tcPr>
            <w:tcW w:w="9351" w:type="dxa"/>
            <w:vAlign w:val="center"/>
          </w:tcPr>
          <w:p w14:paraId="26BA0EAD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Responsibilities: </w:t>
            </w:r>
          </w:p>
        </w:tc>
      </w:tr>
      <w:tr w:rsidR="00F239B3" w:rsidRPr="002F3BD5" w14:paraId="6379CA23" w14:textId="77777777" w:rsidTr="00F239B3">
        <w:trPr>
          <w:trHeight w:val="405"/>
        </w:trPr>
        <w:tc>
          <w:tcPr>
            <w:tcW w:w="9351" w:type="dxa"/>
            <w:vAlign w:val="center"/>
          </w:tcPr>
          <w:p w14:paraId="6B9F9090" w14:textId="77777777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Technician</w:t>
            </w:r>
          </w:p>
        </w:tc>
      </w:tr>
      <w:tr w:rsidR="00F239B3" w:rsidRPr="002F3BD5" w14:paraId="5FEBB2DF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524C9B39" w14:textId="77777777" w:rsidR="00F239B3" w:rsidRPr="002F3BD5" w:rsidRDefault="00F239B3" w:rsidP="00EC1512">
            <w:pPr>
              <w:pStyle w:val="Tablehead1"/>
              <w:rPr>
                <w:rFonts w:cs="Arial"/>
                <w:i/>
              </w:rPr>
            </w:pPr>
            <w:r w:rsidRPr="002F3BD5">
              <w:rPr>
                <w:rFonts w:cs="Arial"/>
              </w:rPr>
              <w:t xml:space="preserve">Safety notes: </w:t>
            </w:r>
          </w:p>
        </w:tc>
      </w:tr>
      <w:tr w:rsidR="00F239B3" w:rsidRPr="002F3BD5" w14:paraId="48C24B82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7A6D28C7" w14:textId="5982314F" w:rsidR="00F239B3" w:rsidRPr="002F3BD5" w:rsidRDefault="00F239B3" w:rsidP="00EC1512">
            <w:pPr>
              <w:pStyle w:val="Tablebullets2"/>
              <w:rPr>
                <w:rFonts w:cs="Arial"/>
              </w:rPr>
            </w:pPr>
            <w:r w:rsidRPr="002F3BD5">
              <w:rPr>
                <w:rFonts w:cs="Arial"/>
              </w:rPr>
              <w:t>Eye protection must be worn</w:t>
            </w:r>
          </w:p>
        </w:tc>
      </w:tr>
    </w:tbl>
    <w:p w14:paraId="60D7A5BF" w14:textId="77777777" w:rsidR="00F239B3" w:rsidRPr="002F3BD5" w:rsidRDefault="00F239B3" w:rsidP="00F239B3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9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239B3" w:rsidRPr="002F3BD5" w14:paraId="7E00F96A" w14:textId="77777777" w:rsidTr="00F239B3">
        <w:trPr>
          <w:trHeight w:val="411"/>
        </w:trPr>
        <w:tc>
          <w:tcPr>
            <w:tcW w:w="9351" w:type="dxa"/>
            <w:gridSpan w:val="2"/>
            <w:vAlign w:val="center"/>
          </w:tcPr>
          <w:p w14:paraId="4BFE8354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Equipment: </w:t>
            </w:r>
          </w:p>
        </w:tc>
      </w:tr>
      <w:tr w:rsidR="00F239B3" w:rsidRPr="002F3BD5" w14:paraId="3867392D" w14:textId="77777777" w:rsidTr="00EC1512">
        <w:trPr>
          <w:trHeight w:val="1407"/>
        </w:trPr>
        <w:tc>
          <w:tcPr>
            <w:tcW w:w="4675" w:type="dxa"/>
          </w:tcPr>
          <w:p w14:paraId="51754E92" w14:textId="7072ABEB" w:rsidR="004A3CC4" w:rsidRPr="002F3BD5" w:rsidRDefault="004A3CC4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Sodium hydroxide (0.1mol dm-3)</w:t>
            </w:r>
          </w:p>
          <w:p w14:paraId="1C541E11" w14:textId="7A3A403E" w:rsidR="004A3CC4" w:rsidRPr="002F3BD5" w:rsidRDefault="004A3CC4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Ethanoic acid (0.1mol dm-3)</w:t>
            </w:r>
          </w:p>
          <w:p w14:paraId="088032AB" w14:textId="261E86D4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Pipette</w:t>
            </w:r>
          </w:p>
          <w:p w14:paraId="7C5E005D" w14:textId="77777777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Conical flask</w:t>
            </w:r>
          </w:p>
        </w:tc>
        <w:tc>
          <w:tcPr>
            <w:tcW w:w="4676" w:type="dxa"/>
          </w:tcPr>
          <w:p w14:paraId="1C8AAE2A" w14:textId="5816C3AF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Beaker</w:t>
            </w:r>
          </w:p>
          <w:p w14:paraId="0E5C97F1" w14:textId="77777777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Burette</w:t>
            </w:r>
          </w:p>
          <w:p w14:paraId="42494039" w14:textId="77777777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Clamp stand</w:t>
            </w:r>
          </w:p>
          <w:p w14:paraId="57296AEF" w14:textId="77777777" w:rsidR="00F239B3" w:rsidRPr="002F3BD5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Eye protection</w:t>
            </w:r>
          </w:p>
          <w:p w14:paraId="391A1367" w14:textId="508AA21C" w:rsidR="0089461D" w:rsidRPr="002F3BD5" w:rsidRDefault="0089461D" w:rsidP="00EC1512">
            <w:pPr>
              <w:pStyle w:val="Tablebullets2"/>
              <w:spacing w:before="20" w:after="20"/>
              <w:ind w:hanging="306"/>
              <w:rPr>
                <w:rFonts w:cs="Arial"/>
              </w:rPr>
            </w:pPr>
            <w:r w:rsidRPr="002F3BD5">
              <w:rPr>
                <w:rFonts w:cs="Arial"/>
              </w:rPr>
              <w:t>pH meter</w:t>
            </w:r>
          </w:p>
        </w:tc>
      </w:tr>
      <w:tr w:rsidR="00F239B3" w:rsidRPr="002F3BD5" w14:paraId="5B7363AF" w14:textId="77777777" w:rsidTr="00F239B3">
        <w:trPr>
          <w:trHeight w:val="443"/>
        </w:trPr>
        <w:tc>
          <w:tcPr>
            <w:tcW w:w="9351" w:type="dxa"/>
            <w:gridSpan w:val="2"/>
            <w:vAlign w:val="center"/>
          </w:tcPr>
          <w:p w14:paraId="6B093642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Procedure: </w:t>
            </w:r>
          </w:p>
        </w:tc>
      </w:tr>
      <w:tr w:rsidR="00F239B3" w:rsidRPr="002F3BD5" w14:paraId="109FA174" w14:textId="77777777" w:rsidTr="00EC1512">
        <w:trPr>
          <w:trHeight w:val="1980"/>
        </w:trPr>
        <w:tc>
          <w:tcPr>
            <w:tcW w:w="9351" w:type="dxa"/>
            <w:gridSpan w:val="2"/>
          </w:tcPr>
          <w:p w14:paraId="58F4CD2D" w14:textId="2390B1CF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Measure 10cm</w:t>
            </w:r>
            <w:r w:rsidRPr="002F3BD5">
              <w:rPr>
                <w:rFonts w:cs="Arial"/>
                <w:vertAlign w:val="superscript"/>
              </w:rPr>
              <w:t xml:space="preserve">3 </w:t>
            </w:r>
            <w:r w:rsidRPr="002F3BD5">
              <w:rPr>
                <w:rFonts w:cs="Arial"/>
              </w:rPr>
              <w:t>of 0.1mol dm</w:t>
            </w:r>
            <w:r w:rsidRPr="002F3BD5">
              <w:rPr>
                <w:rFonts w:cs="Arial"/>
                <w:vertAlign w:val="superscript"/>
              </w:rPr>
              <w:t>-3</w:t>
            </w:r>
            <w:r w:rsidRPr="002F3BD5">
              <w:rPr>
                <w:rFonts w:cs="Arial"/>
              </w:rPr>
              <w:t xml:space="preserve"> sodium hydroxide.</w:t>
            </w:r>
          </w:p>
          <w:p w14:paraId="42702EDC" w14:textId="7845A9D1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Add to a 50cm</w:t>
            </w:r>
            <w:r w:rsidRPr="002F3BD5">
              <w:rPr>
                <w:rFonts w:cs="Arial"/>
                <w:vertAlign w:val="superscript"/>
              </w:rPr>
              <w:t xml:space="preserve">3 </w:t>
            </w:r>
            <w:r w:rsidRPr="002F3BD5">
              <w:rPr>
                <w:rFonts w:cs="Arial"/>
              </w:rPr>
              <w:t>conical flask.</w:t>
            </w:r>
          </w:p>
          <w:p w14:paraId="64C27CE5" w14:textId="4ABF548C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Using a funnel to avoid spillages, fill burette with 0.1mol dm</w:t>
            </w:r>
            <w:r w:rsidRPr="002F3BD5">
              <w:rPr>
                <w:rFonts w:cs="Arial"/>
                <w:vertAlign w:val="superscript"/>
              </w:rPr>
              <w:t>-3</w:t>
            </w:r>
            <w:r w:rsidRPr="002F3BD5">
              <w:rPr>
                <w:rFonts w:cs="Arial"/>
              </w:rPr>
              <w:t xml:space="preserve"> ethanoic acid</w:t>
            </w:r>
            <w:r w:rsidR="00BD368A" w:rsidRPr="002F3BD5">
              <w:rPr>
                <w:rFonts w:cs="Arial"/>
              </w:rPr>
              <w:t>.</w:t>
            </w:r>
            <w:r w:rsidRPr="002F3BD5">
              <w:rPr>
                <w:rFonts w:cs="Arial"/>
              </w:rPr>
              <w:t xml:space="preserve"> </w:t>
            </w:r>
          </w:p>
          <w:p w14:paraId="346721D6" w14:textId="57F563EB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Place conical flask containing sodium hydroxide under burette</w:t>
            </w:r>
            <w:r w:rsidR="00BD368A" w:rsidRPr="002F3BD5">
              <w:rPr>
                <w:rFonts w:cs="Arial"/>
              </w:rPr>
              <w:t>.</w:t>
            </w:r>
          </w:p>
          <w:p w14:paraId="7389CD01" w14:textId="192C67E8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Use the burette to add 25cm</w:t>
            </w:r>
            <w:r w:rsidRPr="002F3BD5">
              <w:rPr>
                <w:rFonts w:cs="Arial"/>
                <w:vertAlign w:val="superscript"/>
              </w:rPr>
              <w:t>3</w:t>
            </w:r>
            <w:r w:rsidRPr="002F3BD5">
              <w:rPr>
                <w:rFonts w:cs="Arial"/>
              </w:rPr>
              <w:t xml:space="preserve"> of ethanoic acid to the sodium hydroxide</w:t>
            </w:r>
            <w:r w:rsidR="00BD368A" w:rsidRPr="002F3BD5">
              <w:rPr>
                <w:rFonts w:cs="Arial"/>
              </w:rPr>
              <w:t>.</w:t>
            </w:r>
          </w:p>
          <w:p w14:paraId="2BEBD037" w14:textId="7CAD10D8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Agitate solution for 5 seconds</w:t>
            </w:r>
            <w:r w:rsidR="00BD368A" w:rsidRPr="002F3BD5">
              <w:rPr>
                <w:rFonts w:cs="Arial"/>
              </w:rPr>
              <w:t>.</w:t>
            </w:r>
          </w:p>
        </w:tc>
      </w:tr>
      <w:tr w:rsidR="00F239B3" w:rsidRPr="002F3BD5" w14:paraId="7462320C" w14:textId="77777777" w:rsidTr="00F239B3">
        <w:trPr>
          <w:trHeight w:val="407"/>
        </w:trPr>
        <w:tc>
          <w:tcPr>
            <w:tcW w:w="9351" w:type="dxa"/>
            <w:gridSpan w:val="2"/>
            <w:vAlign w:val="center"/>
          </w:tcPr>
          <w:p w14:paraId="57019FF4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Links to Other Policies: </w:t>
            </w:r>
          </w:p>
        </w:tc>
      </w:tr>
      <w:tr w:rsidR="00F239B3" w:rsidRPr="002F3BD5" w14:paraId="59333351" w14:textId="77777777" w:rsidTr="00F239B3">
        <w:trPr>
          <w:trHeight w:val="958"/>
        </w:trPr>
        <w:tc>
          <w:tcPr>
            <w:tcW w:w="9351" w:type="dxa"/>
            <w:gridSpan w:val="2"/>
            <w:vAlign w:val="center"/>
          </w:tcPr>
          <w:p w14:paraId="5BC23559" w14:textId="322EA1AF" w:rsidR="00825695" w:rsidRPr="002F3BD5" w:rsidRDefault="00825695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 xml:space="preserve">CLEAPSS </w:t>
            </w:r>
            <w:r w:rsidR="002F3BD5">
              <w:rPr>
                <w:rFonts w:cs="Arial"/>
              </w:rPr>
              <w:t>–</w:t>
            </w:r>
            <w:r w:rsidRPr="002F3BD5">
              <w:rPr>
                <w:rFonts w:cs="Arial"/>
              </w:rPr>
              <w:t xml:space="preserve"> Student safety sheet 23 Ethanoic acid</w:t>
            </w:r>
          </w:p>
          <w:p w14:paraId="250BFB4C" w14:textId="77777777" w:rsidR="00F239B3" w:rsidRPr="002F3BD5" w:rsidRDefault="00825695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CLEAPSS – Student safety sheet 31 Sodium hydroxide</w:t>
            </w:r>
          </w:p>
          <w:p w14:paraId="4F0A4CDA" w14:textId="468AE319" w:rsidR="000E4530" w:rsidRPr="002F3BD5" w:rsidRDefault="000E4530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 xml:space="preserve">CLEAPSS – </w:t>
            </w:r>
            <w:r w:rsidR="007268C4" w:rsidRPr="002F3BD5">
              <w:rPr>
                <w:rFonts w:cs="Arial"/>
              </w:rPr>
              <w:t>Guidance Leaflet</w:t>
            </w:r>
            <w:r w:rsidRPr="002F3BD5">
              <w:rPr>
                <w:rFonts w:cs="Arial"/>
              </w:rPr>
              <w:t xml:space="preserve"> </w:t>
            </w:r>
            <w:r w:rsidR="007268C4" w:rsidRPr="002F3BD5">
              <w:rPr>
                <w:rFonts w:cs="Arial"/>
              </w:rPr>
              <w:t>320</w:t>
            </w:r>
            <w:r w:rsidRPr="002F3BD5">
              <w:rPr>
                <w:rFonts w:cs="Arial"/>
              </w:rPr>
              <w:t xml:space="preserve"> Filling and using a burette</w:t>
            </w:r>
          </w:p>
        </w:tc>
      </w:tr>
      <w:bookmarkEnd w:id="0"/>
      <w:bookmarkEnd w:id="1"/>
    </w:tbl>
    <w:p w14:paraId="46B8EEBC" w14:textId="77777777" w:rsidR="00EC1512" w:rsidRPr="002F3BD5" w:rsidRDefault="00EC1512" w:rsidP="00F239B3">
      <w:pPr>
        <w:spacing w:after="0"/>
        <w:rPr>
          <w:rFonts w:cs="Arial"/>
        </w:rPr>
      </w:pPr>
    </w:p>
    <w:sectPr w:rsidR="00EC1512" w:rsidRPr="002F3BD5" w:rsidSect="00AE4C9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1383" w14:textId="77777777" w:rsidR="00466FE4" w:rsidRDefault="00466FE4" w:rsidP="000C51BB">
      <w:pPr>
        <w:spacing w:after="0" w:line="240" w:lineRule="auto"/>
      </w:pPr>
      <w:r>
        <w:separator/>
      </w:r>
    </w:p>
  </w:endnote>
  <w:endnote w:type="continuationSeparator" w:id="0">
    <w:p w14:paraId="0F2ECB97" w14:textId="77777777" w:rsidR="00466FE4" w:rsidRDefault="00466FE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9D37CA" w:rsidRPr="00D637F1" w14:paraId="3647E90B" w14:textId="77777777" w:rsidTr="00606E9C">
      <w:tc>
        <w:tcPr>
          <w:tcW w:w="8715" w:type="dxa"/>
          <w:gridSpan w:val="2"/>
        </w:tcPr>
        <w:p w14:paraId="11D1BCE2" w14:textId="77777777" w:rsidR="009D37CA" w:rsidRPr="00D637F1" w:rsidRDefault="009D37CA" w:rsidP="009D37CA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9D37CA" w:rsidRPr="00D637F1" w14:paraId="14481EAB" w14:textId="77777777" w:rsidTr="00606E9C">
      <w:tc>
        <w:tcPr>
          <w:tcW w:w="4862" w:type="dxa"/>
        </w:tcPr>
        <w:p w14:paraId="7FC414A6" w14:textId="52688A5C" w:rsidR="009D37CA" w:rsidRPr="00D637F1" w:rsidRDefault="009D37CA" w:rsidP="009D37CA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A414C3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2059135A" w14:textId="77777777" w:rsidR="009D37CA" w:rsidRPr="00D637F1" w:rsidRDefault="009D37CA" w:rsidP="009D37C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05EC913B" w14:textId="77777777" w:rsidR="0079593F" w:rsidRDefault="0079593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DFC5F9A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6190" w14:textId="77777777" w:rsidR="00466FE4" w:rsidRDefault="00466FE4" w:rsidP="000C51BB">
      <w:pPr>
        <w:spacing w:after="0" w:line="240" w:lineRule="auto"/>
      </w:pPr>
      <w:r>
        <w:separator/>
      </w:r>
    </w:p>
  </w:footnote>
  <w:footnote w:type="continuationSeparator" w:id="0">
    <w:p w14:paraId="65B5EF3B" w14:textId="77777777" w:rsidR="00466FE4" w:rsidRDefault="00466FE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77777777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C91122" w:rsidRPr="000F0146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5A21D61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>2: Using a SOP</w:t>
          </w:r>
        </w:p>
        <w:p w14:paraId="12CAE750" w14:textId="63F20BD4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833B94"/>
    <w:multiLevelType w:val="hybridMultilevel"/>
    <w:tmpl w:val="D62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4"/>
  </w:num>
  <w:num w:numId="2" w16cid:durableId="1334603471">
    <w:abstractNumId w:val="6"/>
  </w:num>
  <w:num w:numId="3" w16cid:durableId="454100576">
    <w:abstractNumId w:val="20"/>
  </w:num>
  <w:num w:numId="4" w16cid:durableId="358432893">
    <w:abstractNumId w:val="22"/>
  </w:num>
  <w:num w:numId="5" w16cid:durableId="1769345959">
    <w:abstractNumId w:val="3"/>
  </w:num>
  <w:num w:numId="6" w16cid:durableId="2092727936">
    <w:abstractNumId w:val="19"/>
  </w:num>
  <w:num w:numId="7" w16cid:durableId="1424182519">
    <w:abstractNumId w:val="28"/>
  </w:num>
  <w:num w:numId="8" w16cid:durableId="1380324300">
    <w:abstractNumId w:val="13"/>
  </w:num>
  <w:num w:numId="9" w16cid:durableId="1810899930">
    <w:abstractNumId w:val="4"/>
  </w:num>
  <w:num w:numId="10" w16cid:durableId="1276324223">
    <w:abstractNumId w:val="16"/>
  </w:num>
  <w:num w:numId="11" w16cid:durableId="269892830">
    <w:abstractNumId w:val="24"/>
  </w:num>
  <w:num w:numId="12" w16cid:durableId="476338105">
    <w:abstractNumId w:val="9"/>
  </w:num>
  <w:num w:numId="13" w16cid:durableId="2010592579">
    <w:abstractNumId w:val="32"/>
  </w:num>
  <w:num w:numId="14" w16cid:durableId="1520898666">
    <w:abstractNumId w:val="17"/>
  </w:num>
  <w:num w:numId="15" w16cid:durableId="802045075">
    <w:abstractNumId w:val="11"/>
  </w:num>
  <w:num w:numId="16" w16cid:durableId="1861626428">
    <w:abstractNumId w:val="30"/>
  </w:num>
  <w:num w:numId="17" w16cid:durableId="521436602">
    <w:abstractNumId w:val="10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21"/>
  </w:num>
  <w:num w:numId="21" w16cid:durableId="1186407963">
    <w:abstractNumId w:val="5"/>
  </w:num>
  <w:num w:numId="22" w16cid:durableId="311957161">
    <w:abstractNumId w:val="33"/>
  </w:num>
  <w:num w:numId="23" w16cid:durableId="1162358596">
    <w:abstractNumId w:val="29"/>
  </w:num>
  <w:num w:numId="24" w16cid:durableId="306781313">
    <w:abstractNumId w:val="23"/>
  </w:num>
  <w:num w:numId="25" w16cid:durableId="887574627">
    <w:abstractNumId w:val="7"/>
  </w:num>
  <w:num w:numId="26" w16cid:durableId="432825434">
    <w:abstractNumId w:val="12"/>
  </w:num>
  <w:num w:numId="27" w16cid:durableId="1349016504">
    <w:abstractNumId w:val="0"/>
  </w:num>
  <w:num w:numId="28" w16cid:durableId="2053068657">
    <w:abstractNumId w:val="18"/>
  </w:num>
  <w:num w:numId="29" w16cid:durableId="1481120608">
    <w:abstractNumId w:val="26"/>
  </w:num>
  <w:num w:numId="30" w16cid:durableId="938365419">
    <w:abstractNumId w:val="15"/>
  </w:num>
  <w:num w:numId="31" w16cid:durableId="1761608071">
    <w:abstractNumId w:val="31"/>
  </w:num>
  <w:num w:numId="32" w16cid:durableId="584151840">
    <w:abstractNumId w:val="25"/>
  </w:num>
  <w:num w:numId="33" w16cid:durableId="1377777445">
    <w:abstractNumId w:val="27"/>
  </w:num>
  <w:num w:numId="34" w16cid:durableId="70722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75362"/>
    <w:rsid w:val="00083A47"/>
    <w:rsid w:val="00086B0C"/>
    <w:rsid w:val="00086E0C"/>
    <w:rsid w:val="000C51BB"/>
    <w:rsid w:val="000D113C"/>
    <w:rsid w:val="000E21D8"/>
    <w:rsid w:val="000E4530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1E52ED"/>
    <w:rsid w:val="0020582A"/>
    <w:rsid w:val="00224C7B"/>
    <w:rsid w:val="0028309A"/>
    <w:rsid w:val="00294961"/>
    <w:rsid w:val="00295AE9"/>
    <w:rsid w:val="002962CB"/>
    <w:rsid w:val="002A667B"/>
    <w:rsid w:val="002C7D5F"/>
    <w:rsid w:val="002F3BD5"/>
    <w:rsid w:val="00341104"/>
    <w:rsid w:val="00377A27"/>
    <w:rsid w:val="003A2170"/>
    <w:rsid w:val="003B319C"/>
    <w:rsid w:val="003D46AC"/>
    <w:rsid w:val="0041494A"/>
    <w:rsid w:val="00445C22"/>
    <w:rsid w:val="004635D4"/>
    <w:rsid w:val="00464106"/>
    <w:rsid w:val="00466FE4"/>
    <w:rsid w:val="0048092F"/>
    <w:rsid w:val="004A3CC4"/>
    <w:rsid w:val="004F4859"/>
    <w:rsid w:val="00506A00"/>
    <w:rsid w:val="00543E25"/>
    <w:rsid w:val="00546C66"/>
    <w:rsid w:val="005565C3"/>
    <w:rsid w:val="005725AA"/>
    <w:rsid w:val="0060257E"/>
    <w:rsid w:val="0064151F"/>
    <w:rsid w:val="00674E79"/>
    <w:rsid w:val="0067536B"/>
    <w:rsid w:val="00675648"/>
    <w:rsid w:val="006F0DD8"/>
    <w:rsid w:val="00706B6D"/>
    <w:rsid w:val="007268C4"/>
    <w:rsid w:val="00741A26"/>
    <w:rsid w:val="00770213"/>
    <w:rsid w:val="00770D34"/>
    <w:rsid w:val="007840D2"/>
    <w:rsid w:val="0079593F"/>
    <w:rsid w:val="007C6322"/>
    <w:rsid w:val="007D7B81"/>
    <w:rsid w:val="00825695"/>
    <w:rsid w:val="00857299"/>
    <w:rsid w:val="00886FD0"/>
    <w:rsid w:val="00891891"/>
    <w:rsid w:val="0089461D"/>
    <w:rsid w:val="00895A25"/>
    <w:rsid w:val="008A3B2B"/>
    <w:rsid w:val="008D269F"/>
    <w:rsid w:val="008D5A27"/>
    <w:rsid w:val="008E7C66"/>
    <w:rsid w:val="00901212"/>
    <w:rsid w:val="0093304F"/>
    <w:rsid w:val="009450E1"/>
    <w:rsid w:val="00961A77"/>
    <w:rsid w:val="00965996"/>
    <w:rsid w:val="0099395B"/>
    <w:rsid w:val="009D37CA"/>
    <w:rsid w:val="00A33365"/>
    <w:rsid w:val="00A3790C"/>
    <w:rsid w:val="00A414C3"/>
    <w:rsid w:val="00A84DC1"/>
    <w:rsid w:val="00AA506F"/>
    <w:rsid w:val="00AB0EBC"/>
    <w:rsid w:val="00AD6E41"/>
    <w:rsid w:val="00AE4C9E"/>
    <w:rsid w:val="00B352C6"/>
    <w:rsid w:val="00B3741A"/>
    <w:rsid w:val="00B56D76"/>
    <w:rsid w:val="00B601A7"/>
    <w:rsid w:val="00B636E6"/>
    <w:rsid w:val="00B81C5E"/>
    <w:rsid w:val="00BB4037"/>
    <w:rsid w:val="00BD368A"/>
    <w:rsid w:val="00C179A9"/>
    <w:rsid w:val="00C348E4"/>
    <w:rsid w:val="00C5604B"/>
    <w:rsid w:val="00C807DD"/>
    <w:rsid w:val="00C91122"/>
    <w:rsid w:val="00C93F2F"/>
    <w:rsid w:val="00CD62D1"/>
    <w:rsid w:val="00CE4D8E"/>
    <w:rsid w:val="00CF0BEC"/>
    <w:rsid w:val="00D12C55"/>
    <w:rsid w:val="00D72866"/>
    <w:rsid w:val="00D7583B"/>
    <w:rsid w:val="00D944DC"/>
    <w:rsid w:val="00DD0DE1"/>
    <w:rsid w:val="00DF17E7"/>
    <w:rsid w:val="00E109F1"/>
    <w:rsid w:val="00E745E9"/>
    <w:rsid w:val="00EC1512"/>
    <w:rsid w:val="00ED1AD4"/>
    <w:rsid w:val="00EE61A9"/>
    <w:rsid w:val="00EE6E45"/>
    <w:rsid w:val="00F112FA"/>
    <w:rsid w:val="00F239B3"/>
    <w:rsid w:val="00F72D82"/>
    <w:rsid w:val="00F90397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55580-6D4B-40DA-B602-63A7BDDFECD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F0B67AFE-37CE-4CEF-AEAE-6871B5A31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3CA15-5A1F-4EF0-A843-27CF0D08D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2024-04-22T15:44:00Z</dcterms:created>
  <dcterms:modified xsi:type="dcterms:W3CDTF">2024-07-14T11:34:00Z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