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0353139C" w:rsidR="00EE61A9" w:rsidRPr="00D72866" w:rsidRDefault="00665DEB" w:rsidP="00EE61A9">
      <w:pPr>
        <w:pStyle w:val="Chapter"/>
      </w:pPr>
      <w:bookmarkStart w:id="0" w:name="_Toc137031731"/>
      <w:bookmarkStart w:id="1" w:name="_Toc137031855"/>
      <w:r>
        <w:t xml:space="preserve">Plenary: </w:t>
      </w:r>
      <w:r w:rsidR="00D62151">
        <w:t>Answers</w:t>
      </w:r>
    </w:p>
    <w:p w14:paraId="3BFB6BF2" w14:textId="1D8B61EC" w:rsidR="00D62151" w:rsidRDefault="00D62151" w:rsidP="00D62151">
      <w:pPr>
        <w:pStyle w:val="Heading1"/>
      </w:pPr>
      <w:r>
        <w:t>Risk assessment errors</w:t>
      </w:r>
    </w:p>
    <w:p w14:paraId="7C9DF35C" w14:textId="2FFDA778" w:rsidR="00665DEB" w:rsidRDefault="00665DEB" w:rsidP="00665DEB">
      <w:r>
        <w:t xml:space="preserve">Some suggestions for information which is missing from the risk assessments, and what should be </w:t>
      </w:r>
      <w:r w:rsidR="009171DF">
        <w:t>done to correct the risk assessments</w:t>
      </w:r>
      <w:r>
        <w:t>.</w:t>
      </w:r>
    </w:p>
    <w:p w14:paraId="3899BFFE" w14:textId="1CFEF6A1" w:rsidR="00665DEB" w:rsidRDefault="00665DEB" w:rsidP="00D62151">
      <w:pPr>
        <w:pStyle w:val="Heading2"/>
      </w:pPr>
      <w:r>
        <w:t xml:space="preserve">Risk assessment </w:t>
      </w:r>
      <w:r w:rsidR="00914795">
        <w:t>1 (</w:t>
      </w:r>
      <w:r>
        <w:t xml:space="preserve">for </w:t>
      </w:r>
      <w:r w:rsidR="00A855E7">
        <w:t>autoclaving</w:t>
      </w:r>
      <w:r w:rsidR="00914795">
        <w:t>)</w:t>
      </w:r>
    </w:p>
    <w:p w14:paraId="4EA66E4E" w14:textId="0FFDB740" w:rsidR="003631E5" w:rsidRDefault="003631E5" w:rsidP="00A46ADD">
      <w:pPr>
        <w:pStyle w:val="ListParagraph"/>
        <w:numPr>
          <w:ilvl w:val="0"/>
          <w:numId w:val="20"/>
        </w:numPr>
      </w:pPr>
      <w:r>
        <w:t>There is no date on which the risk assessment was carried out, and it does not give the date of the next review.</w:t>
      </w:r>
    </w:p>
    <w:p w14:paraId="378F5FED" w14:textId="4DF7C644" w:rsidR="00A46ADD" w:rsidRDefault="00A46ADD" w:rsidP="00665DEB">
      <w:pPr>
        <w:pStyle w:val="ListParagraph"/>
        <w:numPr>
          <w:ilvl w:val="0"/>
          <w:numId w:val="20"/>
        </w:numPr>
      </w:pPr>
      <w:r>
        <w:t xml:space="preserve">There is no </w:t>
      </w:r>
      <w:r w:rsidR="000B4BC3">
        <w:t xml:space="preserve">consequence </w:t>
      </w:r>
      <w:r>
        <w:t>severity</w:t>
      </w:r>
      <w:r w:rsidR="002A35A8">
        <w:t xml:space="preserve"> of risk</w:t>
      </w:r>
      <w:r>
        <w:t xml:space="preserve"> given for the infection or contamination</w:t>
      </w:r>
      <w:r w:rsidR="009171DF">
        <w:t>. T</w:t>
      </w:r>
      <w:r>
        <w:t>his would be dependent on the infectious agents being used in the lab</w:t>
      </w:r>
      <w:r w:rsidR="002A35A8">
        <w:t xml:space="preserve"> but needs to be used to determine the total risk level and the residual risk level</w:t>
      </w:r>
      <w:r w:rsidR="009171DF">
        <w:t>,</w:t>
      </w:r>
      <w:r w:rsidR="002A35A8">
        <w:t xml:space="preserve"> as </w:t>
      </w:r>
      <w:r w:rsidR="009171DF">
        <w:t>it</w:t>
      </w:r>
      <w:r w:rsidR="002A35A8">
        <w:t xml:space="preserve"> may be higher than 3 and therefore further action (such as monitoring) might be necessary.</w:t>
      </w:r>
    </w:p>
    <w:p w14:paraId="3C815941" w14:textId="77777777" w:rsidR="009171DF" w:rsidRDefault="00A46ADD" w:rsidP="00A46ADD">
      <w:pPr>
        <w:pStyle w:val="ListParagraph"/>
        <w:numPr>
          <w:ilvl w:val="0"/>
          <w:numId w:val="20"/>
        </w:numPr>
      </w:pPr>
      <w:r>
        <w:t>There are no control measures for scalding from hot liquids. The control measures might be to:</w:t>
      </w:r>
    </w:p>
    <w:p w14:paraId="1B45CABB" w14:textId="77777777" w:rsidR="009171DF" w:rsidRDefault="00A46ADD" w:rsidP="009171DF">
      <w:pPr>
        <w:pStyle w:val="ListParagraph"/>
        <w:numPr>
          <w:ilvl w:val="1"/>
          <w:numId w:val="20"/>
        </w:numPr>
      </w:pPr>
      <w:r w:rsidRPr="00A46ADD">
        <w:t>Always wear a lab coat, goggles and heat resistant gloves when handling items in and out of the autoclave</w:t>
      </w:r>
      <w:r>
        <w:t>.</w:t>
      </w:r>
    </w:p>
    <w:p w14:paraId="0F23FC41" w14:textId="6C553100" w:rsidR="00A46ADD" w:rsidRDefault="00A46ADD" w:rsidP="009171DF">
      <w:pPr>
        <w:pStyle w:val="ListParagraph"/>
        <w:numPr>
          <w:ilvl w:val="1"/>
          <w:numId w:val="20"/>
        </w:numPr>
      </w:pPr>
      <w:r>
        <w:t>Keep sleeves tucked into gloves to stop steam going up your sleeves.</w:t>
      </w:r>
    </w:p>
    <w:p w14:paraId="2850E4F6" w14:textId="77777777" w:rsidR="00A46ADD" w:rsidRDefault="00A46ADD" w:rsidP="00A46ADD"/>
    <w:p w14:paraId="59C5E8E4" w14:textId="5F7F39FA" w:rsidR="00566AA0" w:rsidRDefault="00665DEB" w:rsidP="006F7A7D">
      <w:pPr>
        <w:pStyle w:val="Heading2"/>
      </w:pPr>
      <w:r w:rsidRPr="00566AA0">
        <w:t xml:space="preserve">Risk assessment </w:t>
      </w:r>
      <w:r w:rsidR="00914795" w:rsidRPr="00566AA0">
        <w:t>2 (</w:t>
      </w:r>
      <w:r w:rsidRPr="00566AA0">
        <w:t>f</w:t>
      </w:r>
      <w:r w:rsidR="00566AA0">
        <w:t>or use, handling and storage of glassware</w:t>
      </w:r>
      <w:r w:rsidR="00914795" w:rsidRPr="00566AA0">
        <w:t>)</w:t>
      </w:r>
    </w:p>
    <w:p w14:paraId="1DE9BA06" w14:textId="7DA44D63" w:rsidR="006F7A7D" w:rsidRDefault="00665DEB" w:rsidP="006F7A7D">
      <w:pPr>
        <w:pStyle w:val="ListParagraph"/>
        <w:numPr>
          <w:ilvl w:val="0"/>
          <w:numId w:val="20"/>
        </w:numPr>
      </w:pPr>
      <w:r w:rsidRPr="00566AA0">
        <w:t xml:space="preserve">The date of </w:t>
      </w:r>
      <w:r w:rsidR="00914795" w:rsidRPr="00566AA0">
        <w:t xml:space="preserve">the </w:t>
      </w:r>
      <w:r w:rsidRPr="00566AA0">
        <w:t xml:space="preserve">next review is prior to the date the </w:t>
      </w:r>
      <w:r w:rsidR="00914795" w:rsidRPr="00566AA0">
        <w:t xml:space="preserve">risk </w:t>
      </w:r>
      <w:r w:rsidRPr="00566AA0">
        <w:t>assessment was carried out</w:t>
      </w:r>
      <w:r w:rsidR="009171DF">
        <w:t>.</w:t>
      </w:r>
      <w:r w:rsidRPr="00566AA0">
        <w:t xml:space="preserve"> </w:t>
      </w:r>
      <w:r w:rsidR="009171DF">
        <w:t>T</w:t>
      </w:r>
      <w:r w:rsidRPr="00566AA0">
        <w:t>his is not possible so there must be an error here</w:t>
      </w:r>
      <w:r w:rsidR="00914795" w:rsidRPr="00566AA0">
        <w:t>.</w:t>
      </w:r>
    </w:p>
    <w:p w14:paraId="0F26303D" w14:textId="79795A7E" w:rsidR="00DF357C" w:rsidRDefault="00DF357C" w:rsidP="006F7A7D">
      <w:pPr>
        <w:pStyle w:val="ListParagraph"/>
        <w:numPr>
          <w:ilvl w:val="0"/>
          <w:numId w:val="20"/>
        </w:numPr>
      </w:pPr>
      <w:r>
        <w:t>Who might be harmed is</w:t>
      </w:r>
      <w:r w:rsidR="00BB4647">
        <w:t xml:space="preserve"> being described in the column, not given</w:t>
      </w:r>
      <w:r>
        <w:t xml:space="preserve"> using the key above.</w:t>
      </w:r>
    </w:p>
    <w:p w14:paraId="2DDA4B7C" w14:textId="7B864A4B" w:rsidR="00134825" w:rsidRDefault="006F7A7D" w:rsidP="006F7A7D">
      <w:pPr>
        <w:pStyle w:val="ListParagraph"/>
        <w:numPr>
          <w:ilvl w:val="0"/>
          <w:numId w:val="20"/>
        </w:numPr>
      </w:pPr>
      <w:r>
        <w:t>There are no details about hazards from substances IN the glassware. This may be a conscious choice but it should be checked that there is an appropriate risk assessment which takes</w:t>
      </w:r>
      <w:r w:rsidR="008F3167">
        <w:t xml:space="preserve"> this</w:t>
      </w:r>
      <w:r>
        <w:t xml:space="preserve"> into account</w:t>
      </w:r>
      <w:r w:rsidR="008F3167">
        <w:t>.</w:t>
      </w:r>
    </w:p>
    <w:p w14:paraId="47DCF927" w14:textId="46F83347" w:rsidR="006F7A7D" w:rsidRDefault="006F7A7D" w:rsidP="006F7A7D">
      <w:pPr>
        <w:pStyle w:val="ListParagraph"/>
        <w:numPr>
          <w:ilvl w:val="0"/>
          <w:numId w:val="20"/>
        </w:numPr>
      </w:pPr>
      <w:r>
        <w:t>There is no information about how the glassware breaking during storage might cause harm. Details should be included, such as unknowing workers could cut themselves on the broken glass</w:t>
      </w:r>
      <w:r w:rsidR="009171DF">
        <w:t xml:space="preserve"> and t</w:t>
      </w:r>
      <w:r>
        <w:t>he contents of the glassware could spill out causing further harm or contamination.</w:t>
      </w:r>
    </w:p>
    <w:p w14:paraId="6F03F0DD" w14:textId="515A6C77" w:rsidR="009171DF" w:rsidRDefault="006F7A7D" w:rsidP="006F7A7D">
      <w:pPr>
        <w:pStyle w:val="ListParagraph"/>
        <w:numPr>
          <w:ilvl w:val="0"/>
          <w:numId w:val="20"/>
        </w:numPr>
      </w:pPr>
      <w:r>
        <w:t>There is no information about the risks or control measures associated with disposing of broken glassware. The likelihood should be</w:t>
      </w:r>
      <w:r w:rsidR="00134825">
        <w:t xml:space="preserve"> 3</w:t>
      </w:r>
      <w:r w:rsidR="009171DF">
        <w:t xml:space="preserve"> and</w:t>
      </w:r>
      <w:r w:rsidR="00134825">
        <w:t xml:space="preserve"> </w:t>
      </w:r>
      <w:r w:rsidR="000B4BC3">
        <w:t xml:space="preserve">consequence </w:t>
      </w:r>
      <w:r w:rsidR="00134825">
        <w:t>severity 3</w:t>
      </w:r>
      <w:r w:rsidR="009171DF">
        <w:t>,</w:t>
      </w:r>
      <w:r w:rsidR="00134825">
        <w:t xml:space="preserve"> so total risk level</w:t>
      </w:r>
      <w:r w:rsidR="009171DF">
        <w:t xml:space="preserve"> would be</w:t>
      </w:r>
      <w:r w:rsidR="00134825">
        <w:t xml:space="preserve"> 9. </w:t>
      </w:r>
      <w:r>
        <w:t>Control measures could include:</w:t>
      </w:r>
    </w:p>
    <w:p w14:paraId="5D496891" w14:textId="77777777" w:rsidR="009171DF" w:rsidRDefault="006F7A7D" w:rsidP="009171DF">
      <w:pPr>
        <w:pStyle w:val="ListParagraph"/>
        <w:numPr>
          <w:ilvl w:val="1"/>
          <w:numId w:val="20"/>
        </w:numPr>
      </w:pPr>
      <w:r w:rsidRPr="006F7A7D">
        <w:t>The glassware should be disposed of correctly in a sharps bin.</w:t>
      </w:r>
    </w:p>
    <w:p w14:paraId="4DB00CC5" w14:textId="77777777" w:rsidR="009171DF" w:rsidRDefault="006F7A7D" w:rsidP="009171DF">
      <w:pPr>
        <w:pStyle w:val="ListParagraph"/>
        <w:numPr>
          <w:ilvl w:val="1"/>
          <w:numId w:val="20"/>
        </w:numPr>
      </w:pPr>
      <w:r w:rsidRPr="006F7A7D">
        <w:t>Broken glass should be handled with care</w:t>
      </w:r>
      <w:r w:rsidR="009171DF">
        <w:t>.</w:t>
      </w:r>
    </w:p>
    <w:p w14:paraId="4DB1F490" w14:textId="5BA26689" w:rsidR="009171DF" w:rsidRDefault="009171DF" w:rsidP="009171DF">
      <w:pPr>
        <w:pStyle w:val="ListParagraph"/>
        <w:numPr>
          <w:ilvl w:val="1"/>
          <w:numId w:val="20"/>
        </w:numPr>
      </w:pPr>
      <w:r>
        <w:t>W</w:t>
      </w:r>
      <w:r w:rsidR="00134825">
        <w:t>ear PPE</w:t>
      </w:r>
      <w:r w:rsidR="008E71F7">
        <w:t>,</w:t>
      </w:r>
      <w:r w:rsidR="00134825">
        <w:t xml:space="preserve"> including </w:t>
      </w:r>
      <w:r w:rsidR="008F3167">
        <w:t xml:space="preserve">lab coat, goggles and </w:t>
      </w:r>
      <w:r w:rsidR="00134825">
        <w:t>gloves</w:t>
      </w:r>
      <w:r w:rsidR="006F7A7D" w:rsidRPr="006F7A7D">
        <w:t>.</w:t>
      </w:r>
    </w:p>
    <w:p w14:paraId="43F12DB2" w14:textId="42A7BF64" w:rsidR="006F7A7D" w:rsidRPr="00566AA0" w:rsidRDefault="00134825" w:rsidP="009171DF">
      <w:pPr>
        <w:pStyle w:val="ListParagraph"/>
        <w:numPr>
          <w:ilvl w:val="0"/>
          <w:numId w:val="20"/>
        </w:numPr>
      </w:pPr>
      <w:r>
        <w:t>After control measures are implemented</w:t>
      </w:r>
      <w:r w:rsidR="009171DF">
        <w:t>,</w:t>
      </w:r>
      <w:r>
        <w:t xml:space="preserve"> likelihood 2, </w:t>
      </w:r>
      <w:r w:rsidR="000B4BC3">
        <w:t xml:space="preserve">consequence </w:t>
      </w:r>
      <w:r>
        <w:t>severity 1</w:t>
      </w:r>
      <w:r w:rsidR="006B45FD">
        <w:t xml:space="preserve">, </w:t>
      </w:r>
      <w:r w:rsidR="009171DF">
        <w:t xml:space="preserve">so </w:t>
      </w:r>
      <w:r w:rsidR="006B45FD">
        <w:t xml:space="preserve">residual risk 2 </w:t>
      </w:r>
      <w:r w:rsidR="009171DF">
        <w:t>(</w:t>
      </w:r>
      <w:r w:rsidR="006B45FD">
        <w:t>No action</w:t>
      </w:r>
      <w:r w:rsidR="009171DF">
        <w:t>)</w:t>
      </w:r>
      <w:r w:rsidR="006B45FD">
        <w:t>.</w:t>
      </w:r>
    </w:p>
    <w:p w14:paraId="032902B3" w14:textId="3458C9E0" w:rsidR="00665DEB" w:rsidRDefault="00665DEB" w:rsidP="006B45FD">
      <w:pPr>
        <w:pStyle w:val="ListParagraph"/>
        <w:numPr>
          <w:ilvl w:val="0"/>
          <w:numId w:val="20"/>
        </w:numPr>
      </w:pPr>
      <w:r w:rsidRPr="00566AA0">
        <w:t xml:space="preserve">It needs to specify which PPE is appropriate as a control measure for the </w:t>
      </w:r>
      <w:bookmarkEnd w:id="0"/>
      <w:bookmarkEnd w:id="1"/>
      <w:r w:rsidR="006B45FD">
        <w:t xml:space="preserve">breaking </w:t>
      </w:r>
      <w:r w:rsidR="009171DF">
        <w:t xml:space="preserve">of glass </w:t>
      </w:r>
      <w:r w:rsidR="006B45FD">
        <w:t>during use or handling, such as lab coat, goggles and gloves.</w:t>
      </w:r>
    </w:p>
    <w:p w14:paraId="79221BA0" w14:textId="2C8AB818" w:rsidR="00E03C07" w:rsidRPr="00E03C07" w:rsidRDefault="00E03C07" w:rsidP="00E03C07">
      <w:pPr>
        <w:tabs>
          <w:tab w:val="left" w:pos="2666"/>
        </w:tabs>
      </w:pPr>
      <w:r>
        <w:tab/>
      </w:r>
    </w:p>
    <w:sectPr w:rsidR="00E03C07" w:rsidRPr="00E03C07" w:rsidSect="008672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130DD" w14:textId="77777777" w:rsidR="00CE32EC" w:rsidRDefault="00CE32EC" w:rsidP="000C51BB">
      <w:pPr>
        <w:spacing w:after="0" w:line="240" w:lineRule="auto"/>
      </w:pPr>
      <w:r>
        <w:separator/>
      </w:r>
    </w:p>
  </w:endnote>
  <w:endnote w:type="continuationSeparator" w:id="0">
    <w:p w14:paraId="76638AA7" w14:textId="77777777" w:rsidR="00CE32EC" w:rsidRDefault="00CE32EC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92"/>
      <w:gridCol w:w="2334"/>
    </w:tblGrid>
    <w:tr w:rsidR="00CE4D8E" w14:paraId="30845723" w14:textId="77777777" w:rsidTr="00CE4D8E">
      <w:tc>
        <w:tcPr>
          <w:tcW w:w="3707" w:type="pct"/>
        </w:tcPr>
        <w:p w14:paraId="2921BD06" w14:textId="77777777" w:rsidR="00CE4D8E" w:rsidRDefault="00CE4D8E" w:rsidP="00CE4D8E">
          <w:pPr>
            <w:pStyle w:val="Header"/>
            <w:spacing w:after="120"/>
            <w:rPr>
              <w:sz w:val="20"/>
              <w:szCs w:val="20"/>
            </w:rPr>
          </w:pPr>
          <w:r w:rsidRPr="0099395B">
            <w:rPr>
              <w:noProof/>
              <w:sz w:val="20"/>
              <w:szCs w:val="20"/>
            </w:rPr>
            <w:t xml:space="preserve">T Level </w:t>
          </w: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X</w:t>
          </w:r>
        </w:p>
      </w:tc>
      <w:tc>
        <w:tcPr>
          <w:tcW w:w="1293" w:type="pct"/>
        </w:tcPr>
        <w:p w14:paraId="0E5D68A6" w14:textId="77777777" w:rsidR="00CE4D8E" w:rsidRDefault="00CE4D8E" w:rsidP="00CE4D8E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>© Gatsby Charitable Foundation 2023</w:t>
          </w:r>
        </w:p>
      </w:tc>
    </w:tr>
  </w:tbl>
  <w:p w14:paraId="600FA158" w14:textId="77777777" w:rsidR="00CE4D8E" w:rsidRDefault="00CE4D8E" w:rsidP="00CE4D8E">
    <w:pPr>
      <w:pStyle w:val="Footer"/>
      <w:jc w:val="right"/>
      <w:rPr>
        <w:sz w:val="20"/>
        <w:szCs w:val="20"/>
      </w:rPr>
    </w:pPr>
  </w:p>
  <w:p w14:paraId="0959F023" w14:textId="52AD9FAF" w:rsidR="004635D4" w:rsidRPr="00CE4D8E" w:rsidRDefault="00CE4D8E" w:rsidP="00CE4D8E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78BE119E" w14:textId="44042E8E" w:rsidR="00065E94" w:rsidRDefault="00065E94" w:rsidP="00065E94">
        <w:pPr>
          <w:pStyle w:val="Footer"/>
          <w:jc w:val="right"/>
          <w:rPr>
            <w:sz w:val="20"/>
            <w:szCs w:val="20"/>
          </w:rPr>
        </w:pPr>
      </w:p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862"/>
          <w:gridCol w:w="3853"/>
        </w:tblGrid>
        <w:tr w:rsidR="0005013C" w14:paraId="44B924BC" w14:textId="77777777" w:rsidTr="007E2303">
          <w:tc>
            <w:tcPr>
              <w:tcW w:w="8715" w:type="dxa"/>
              <w:gridSpan w:val="2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2CA80449" w14:textId="55735452" w:rsidR="0005013C" w:rsidRDefault="0005013C" w:rsidP="0005013C">
              <w:pPr>
                <w:pStyle w:val="Header"/>
                <w:spacing w:after="120"/>
                <w:rPr>
                  <w:noProof/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Health &amp; Science: </w:t>
              </w:r>
              <w:r>
                <w:rPr>
                  <w:noProof/>
                  <w:sz w:val="20"/>
                  <w:szCs w:val="20"/>
                </w:rPr>
                <w:t>Health, safety and environmental regulations and practice</w:t>
              </w:r>
              <w:r w:rsidR="00BA4DC0">
                <w:rPr>
                  <w:noProof/>
                  <w:sz w:val="20"/>
                  <w:szCs w:val="20"/>
                </w:rPr>
                <w:t xml:space="preserve"> (Science)</w:t>
              </w:r>
            </w:p>
          </w:tc>
        </w:tr>
        <w:tr w:rsidR="0005013C" w14:paraId="34642E0D" w14:textId="77777777" w:rsidTr="007E2303">
          <w:tc>
            <w:tcPr>
              <w:tcW w:w="4862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hideMark/>
            </w:tcPr>
            <w:p w14:paraId="0DC30D54" w14:textId="4AB336A8" w:rsidR="0005013C" w:rsidRDefault="0005013C" w:rsidP="0005013C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sz w:val="20"/>
                  <w:szCs w:val="20"/>
                </w:rPr>
                <w:t xml:space="preserve">Version </w:t>
              </w:r>
              <w:r w:rsidR="00BA4DC0">
                <w:rPr>
                  <w:sz w:val="20"/>
                  <w:szCs w:val="20"/>
                </w:rPr>
                <w:t>2</w:t>
              </w:r>
              <w:r>
                <w:rPr>
                  <w:sz w:val="20"/>
                  <w:szCs w:val="20"/>
                </w:rPr>
                <w:t xml:space="preserve">, </w:t>
              </w:r>
              <w:r w:rsidR="00BA4DC0">
                <w:rPr>
                  <w:sz w:val="20"/>
                  <w:szCs w:val="20"/>
                </w:rPr>
                <w:t>March 2025</w:t>
              </w:r>
            </w:p>
          </w:tc>
          <w:tc>
            <w:tcPr>
              <w:tcW w:w="3853" w:type="dxa"/>
              <w:tcBorders>
                <w:top w:val="nil"/>
                <w:left w:val="nil"/>
                <w:bottom w:val="single" w:sz="12" w:space="0" w:color="E2EEBE"/>
                <w:right w:val="nil"/>
              </w:tcBorders>
              <w:vAlign w:val="bottom"/>
              <w:hideMark/>
            </w:tcPr>
            <w:p w14:paraId="0EE2F881" w14:textId="229C945A" w:rsidR="0005013C" w:rsidRDefault="0005013C" w:rsidP="0005013C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>© Gatsby Technical Education Projects 202</w:t>
              </w:r>
              <w:r w:rsidR="00BA4DC0">
                <w:rPr>
                  <w:sz w:val="18"/>
                  <w:szCs w:val="18"/>
                </w:rPr>
                <w:t>5</w:t>
              </w:r>
            </w:p>
          </w:tc>
        </w:tr>
      </w:tbl>
      <w:p w14:paraId="2A55E33F" w14:textId="77777777" w:rsidR="00065E94" w:rsidRDefault="00065E94" w:rsidP="00065E94">
        <w:pPr>
          <w:pStyle w:val="Footer"/>
          <w:jc w:val="right"/>
          <w:rPr>
            <w:sz w:val="20"/>
            <w:szCs w:val="20"/>
          </w:rPr>
        </w:pPr>
      </w:p>
      <w:p w14:paraId="2C16BAE3" w14:textId="0E7CF874" w:rsidR="0099395B" w:rsidRPr="0099395B" w:rsidRDefault="00065E94" w:rsidP="00065E94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1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57BD" w14:textId="77777777" w:rsidR="00BA4DC0" w:rsidRDefault="00BA4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9C8B" w14:textId="77777777" w:rsidR="00CE32EC" w:rsidRDefault="00CE32EC" w:rsidP="000C51BB">
      <w:pPr>
        <w:spacing w:after="0" w:line="240" w:lineRule="auto"/>
      </w:pPr>
      <w:r>
        <w:separator/>
      </w:r>
    </w:p>
  </w:footnote>
  <w:footnote w:type="continuationSeparator" w:id="0">
    <w:p w14:paraId="587B3A50" w14:textId="77777777" w:rsidR="00CE32EC" w:rsidRDefault="00CE32EC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0"/>
      <w:gridCol w:w="7376"/>
    </w:tblGrid>
    <w:tr w:rsidR="00341104" w14:paraId="01A45472" w14:textId="77777777" w:rsidTr="00341104">
      <w:tc>
        <w:tcPr>
          <w:tcW w:w="914" w:type="pct"/>
          <w:tcBorders>
            <w:bottom w:val="single" w:sz="4" w:space="0" w:color="E2EEBE"/>
          </w:tcBorders>
        </w:tcPr>
        <w:p w14:paraId="49B48657" w14:textId="77777777" w:rsidR="00341104" w:rsidRDefault="00341104" w:rsidP="00341104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4086" w:type="pct"/>
          <w:tcBorders>
            <w:bottom w:val="single" w:sz="4" w:space="0" w:color="E2EEBE"/>
          </w:tcBorders>
        </w:tcPr>
        <w:p w14:paraId="2D928F59" w14:textId="77777777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X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[Insert lesson title]</w:t>
          </w:r>
        </w:p>
        <w:p w14:paraId="6A9217B4" w14:textId="77777777" w:rsidR="00341104" w:rsidRDefault="00341104" w:rsidP="0034110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28FE1434" w:rsidR="00041F60" w:rsidRPr="00341104" w:rsidRDefault="00341104" w:rsidP="0034110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B2A5C70" wp14:editId="13290DAB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2017655021" name="Picture 201765502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6748"/>
    </w:tblGrid>
    <w:tr w:rsidR="00065E94" w14:paraId="60693DF9" w14:textId="77777777" w:rsidTr="0005013C">
      <w:tc>
        <w:tcPr>
          <w:tcW w:w="2268" w:type="dxa"/>
          <w:tcBorders>
            <w:bottom w:val="single" w:sz="12" w:space="0" w:color="E2EEBE"/>
          </w:tcBorders>
        </w:tcPr>
        <w:p w14:paraId="61C34102" w14:textId="77777777" w:rsidR="00065E94" w:rsidRDefault="00065E94" w:rsidP="00065E94">
          <w:pPr>
            <w:pStyle w:val="Header"/>
            <w:spacing w:after="120"/>
            <w:rPr>
              <w:sz w:val="20"/>
              <w:szCs w:val="20"/>
            </w:rPr>
          </w:pPr>
          <w:bookmarkStart w:id="2" w:name="_Hlk138416114"/>
        </w:p>
      </w:tc>
      <w:tc>
        <w:tcPr>
          <w:tcW w:w="6748" w:type="dxa"/>
          <w:tcBorders>
            <w:bottom w:val="single" w:sz="12" w:space="0" w:color="E2EEBE"/>
          </w:tcBorders>
        </w:tcPr>
        <w:p w14:paraId="1AA1C990" w14:textId="1616A8E8" w:rsidR="00065E94" w:rsidRDefault="00065E94" w:rsidP="00065E94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Lesson </w:t>
          </w:r>
          <w:r>
            <w:rPr>
              <w:sz w:val="20"/>
              <w:szCs w:val="20"/>
            </w:rPr>
            <w:t>1</w:t>
          </w:r>
          <w:r w:rsidRPr="000F0146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 xml:space="preserve">How to </w:t>
          </w:r>
          <w:r w:rsidR="002B6EDD">
            <w:rPr>
              <w:sz w:val="20"/>
              <w:szCs w:val="20"/>
            </w:rPr>
            <w:t>assess risk</w:t>
          </w:r>
        </w:p>
        <w:p w14:paraId="4BBE5900" w14:textId="52DA3D58" w:rsidR="00065E94" w:rsidRDefault="009171DF" w:rsidP="00065E94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Plenary</w:t>
          </w:r>
        </w:p>
      </w:tc>
    </w:tr>
  </w:tbl>
  <w:bookmarkEnd w:id="2"/>
  <w:p w14:paraId="423BB6F2" w14:textId="122E0635" w:rsidR="00041F60" w:rsidRPr="00065E94" w:rsidRDefault="00065E94" w:rsidP="00065E94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58F79C98" wp14:editId="2E3F66C2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186264699" name="Picture 1" descr="A picture containing black, darknes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264699" name="Picture 1" descr="A picture containing black, darknes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D940" w14:textId="77777777" w:rsidR="00BA4DC0" w:rsidRDefault="00BA4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00BC0"/>
    <w:multiLevelType w:val="multilevel"/>
    <w:tmpl w:val="CAE4287A"/>
    <w:lvl w:ilvl="0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C5D"/>
    <w:multiLevelType w:val="hybridMultilevel"/>
    <w:tmpl w:val="EDDEFA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17708"/>
    <w:multiLevelType w:val="hybridMultilevel"/>
    <w:tmpl w:val="83361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0"/>
  </w:num>
  <w:num w:numId="2" w16cid:durableId="1334603471">
    <w:abstractNumId w:val="5"/>
  </w:num>
  <w:num w:numId="3" w16cid:durableId="454100576">
    <w:abstractNumId w:val="16"/>
  </w:num>
  <w:num w:numId="4" w16cid:durableId="358432893">
    <w:abstractNumId w:val="18"/>
  </w:num>
  <w:num w:numId="5" w16cid:durableId="1769345959">
    <w:abstractNumId w:val="2"/>
  </w:num>
  <w:num w:numId="6" w16cid:durableId="2092727936">
    <w:abstractNumId w:val="14"/>
  </w:num>
  <w:num w:numId="7" w16cid:durableId="1424182519">
    <w:abstractNumId w:val="20"/>
  </w:num>
  <w:num w:numId="8" w16cid:durableId="1380324300">
    <w:abstractNumId w:val="9"/>
  </w:num>
  <w:num w:numId="9" w16cid:durableId="1810899930">
    <w:abstractNumId w:val="3"/>
  </w:num>
  <w:num w:numId="10" w16cid:durableId="1276324223">
    <w:abstractNumId w:val="11"/>
  </w:num>
  <w:num w:numId="11" w16cid:durableId="269892830">
    <w:abstractNumId w:val="19"/>
  </w:num>
  <w:num w:numId="12" w16cid:durableId="476338105">
    <w:abstractNumId w:val="6"/>
  </w:num>
  <w:num w:numId="13" w16cid:durableId="2010592579">
    <w:abstractNumId w:val="22"/>
  </w:num>
  <w:num w:numId="14" w16cid:durableId="1520898666">
    <w:abstractNumId w:val="12"/>
  </w:num>
  <w:num w:numId="15" w16cid:durableId="802045075">
    <w:abstractNumId w:val="8"/>
  </w:num>
  <w:num w:numId="16" w16cid:durableId="1861626428">
    <w:abstractNumId w:val="21"/>
  </w:num>
  <w:num w:numId="17" w16cid:durableId="521436602">
    <w:abstractNumId w:val="7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7"/>
  </w:num>
  <w:num w:numId="21" w16cid:durableId="1186407963">
    <w:abstractNumId w:val="4"/>
  </w:num>
  <w:num w:numId="22" w16cid:durableId="311957161">
    <w:abstractNumId w:val="23"/>
  </w:num>
  <w:num w:numId="23" w16cid:durableId="1262185832">
    <w:abstractNumId w:val="13"/>
  </w:num>
  <w:num w:numId="24" w16cid:durableId="4409274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efaultTableStyle w:val="TableGridLight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BB"/>
    <w:rsid w:val="000105AB"/>
    <w:rsid w:val="000361B9"/>
    <w:rsid w:val="00041B75"/>
    <w:rsid w:val="00041F60"/>
    <w:rsid w:val="000470E0"/>
    <w:rsid w:val="0005013C"/>
    <w:rsid w:val="00065E94"/>
    <w:rsid w:val="00083A47"/>
    <w:rsid w:val="000A7FD2"/>
    <w:rsid w:val="000B4BC3"/>
    <w:rsid w:val="000C51BB"/>
    <w:rsid w:val="000D113C"/>
    <w:rsid w:val="000E2705"/>
    <w:rsid w:val="000F0146"/>
    <w:rsid w:val="00134825"/>
    <w:rsid w:val="00142E67"/>
    <w:rsid w:val="0015537E"/>
    <w:rsid w:val="00164D0C"/>
    <w:rsid w:val="0016745C"/>
    <w:rsid w:val="001767F7"/>
    <w:rsid w:val="001F7782"/>
    <w:rsid w:val="00214DC0"/>
    <w:rsid w:val="002A35A8"/>
    <w:rsid w:val="002B6EDD"/>
    <w:rsid w:val="002C7D5F"/>
    <w:rsid w:val="00341104"/>
    <w:rsid w:val="003518AD"/>
    <w:rsid w:val="003631E5"/>
    <w:rsid w:val="00377A27"/>
    <w:rsid w:val="003B319C"/>
    <w:rsid w:val="003D46AC"/>
    <w:rsid w:val="003E2742"/>
    <w:rsid w:val="00445C22"/>
    <w:rsid w:val="004635D4"/>
    <w:rsid w:val="00464106"/>
    <w:rsid w:val="0048092F"/>
    <w:rsid w:val="00482E8E"/>
    <w:rsid w:val="00494A89"/>
    <w:rsid w:val="004A0029"/>
    <w:rsid w:val="004F4859"/>
    <w:rsid w:val="0054423D"/>
    <w:rsid w:val="00552E6B"/>
    <w:rsid w:val="00565E38"/>
    <w:rsid w:val="00566AA0"/>
    <w:rsid w:val="00603D04"/>
    <w:rsid w:val="00637AB7"/>
    <w:rsid w:val="00650C0C"/>
    <w:rsid w:val="00665DEB"/>
    <w:rsid w:val="006B45FD"/>
    <w:rsid w:val="006F7A7D"/>
    <w:rsid w:val="00706B6D"/>
    <w:rsid w:val="0070781D"/>
    <w:rsid w:val="00734CB3"/>
    <w:rsid w:val="007610AE"/>
    <w:rsid w:val="00770D34"/>
    <w:rsid w:val="007B6DEC"/>
    <w:rsid w:val="00826F78"/>
    <w:rsid w:val="0083194E"/>
    <w:rsid w:val="00855C19"/>
    <w:rsid w:val="00867200"/>
    <w:rsid w:val="00873A58"/>
    <w:rsid w:val="00891891"/>
    <w:rsid w:val="008B3E88"/>
    <w:rsid w:val="008B6920"/>
    <w:rsid w:val="008E71F7"/>
    <w:rsid w:val="008E7C66"/>
    <w:rsid w:val="008F3167"/>
    <w:rsid w:val="00901212"/>
    <w:rsid w:val="00907E03"/>
    <w:rsid w:val="00912C9C"/>
    <w:rsid w:val="00914795"/>
    <w:rsid w:val="009171DF"/>
    <w:rsid w:val="00961A77"/>
    <w:rsid w:val="0097099D"/>
    <w:rsid w:val="0099395B"/>
    <w:rsid w:val="009D1ACF"/>
    <w:rsid w:val="009E4D04"/>
    <w:rsid w:val="00A46ADD"/>
    <w:rsid w:val="00A855E7"/>
    <w:rsid w:val="00AB0EBC"/>
    <w:rsid w:val="00B4674A"/>
    <w:rsid w:val="00B601A7"/>
    <w:rsid w:val="00BA4DC0"/>
    <w:rsid w:val="00BB4647"/>
    <w:rsid w:val="00BE4E8A"/>
    <w:rsid w:val="00BF5271"/>
    <w:rsid w:val="00C348E4"/>
    <w:rsid w:val="00C55D04"/>
    <w:rsid w:val="00C807DD"/>
    <w:rsid w:val="00CE32EC"/>
    <w:rsid w:val="00CE4D8E"/>
    <w:rsid w:val="00D62151"/>
    <w:rsid w:val="00D72866"/>
    <w:rsid w:val="00DF357C"/>
    <w:rsid w:val="00E03C07"/>
    <w:rsid w:val="00E828F6"/>
    <w:rsid w:val="00ED1AD4"/>
    <w:rsid w:val="00EE2EA0"/>
    <w:rsid w:val="00EE61A9"/>
    <w:rsid w:val="00EE6E45"/>
    <w:rsid w:val="00F112FA"/>
    <w:rsid w:val="00F6371C"/>
    <w:rsid w:val="00FC7501"/>
    <w:rsid w:val="00FC7FB4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A47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E67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3A47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42E67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361B9"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361B9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95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95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9395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9395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99395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C348E4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6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6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6F78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6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6F78"/>
    <w:rPr>
      <w:rFonts w:ascii="Arial" w:hAnsi="Arial"/>
      <w:b/>
      <w:bCs/>
      <w:color w:val="0D0D0D" w:themeColor="text1" w:themeTint="F2"/>
      <w:sz w:val="20"/>
      <w:szCs w:val="20"/>
    </w:rPr>
  </w:style>
  <w:style w:type="paragraph" w:styleId="Revision">
    <w:name w:val="Revision"/>
    <w:hidden/>
    <w:uiPriority w:val="99"/>
    <w:semiHidden/>
    <w:rsid w:val="00BF5271"/>
    <w:pPr>
      <w:spacing w:after="0" w:line="240" w:lineRule="auto"/>
    </w:pPr>
    <w:rPr>
      <w:rFonts w:ascii="Arial" w:hAnsi="Arial"/>
      <w:color w:val="0D0D0D" w:themeColor="text1" w:themeTint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27A23E-C44B-4026-9297-48F667257094}"/>
</file>

<file path=customXml/itemProps3.xml><?xml version="1.0" encoding="utf-8"?>
<ds:datastoreItem xmlns:ds="http://schemas.openxmlformats.org/officeDocument/2006/customXml" ds:itemID="{FEC0D76B-9868-4779-A8FB-985A33EAED80}"/>
</file>

<file path=customXml/itemProps4.xml><?xml version="1.0" encoding="utf-8"?>
<ds:datastoreItem xmlns:ds="http://schemas.openxmlformats.org/officeDocument/2006/customXml" ds:itemID="{65FC5568-7553-4F93-A477-410E869CB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2024-04-02T12:03:00Z</dcterms:created>
  <dcterms:modified xsi:type="dcterms:W3CDTF">2025-02-27T14:57:00Z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