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8BE4" w14:textId="2AF66E7B" w:rsidR="00D15116" w:rsidRDefault="00956393">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Consolidation</w:t>
      </w:r>
    </w:p>
    <w:p w14:paraId="26C3A6E3" w14:textId="77777777" w:rsidR="00D15116" w:rsidRDefault="00000000" w:rsidP="00AA05E9">
      <w:r>
        <w:t>Below are three case studies demonstrating the consequences of alleged contractual non-compliance. Research around the cases using the links.</w:t>
      </w:r>
    </w:p>
    <w:p w14:paraId="266795C0" w14:textId="77777777" w:rsidR="00D15116" w:rsidRDefault="00000000">
      <w:pPr>
        <w:shd w:val="clear" w:color="auto" w:fill="FFFFFF"/>
        <w:spacing w:after="120"/>
        <w:rPr>
          <w:color w:val="000000"/>
        </w:rPr>
      </w:pPr>
      <w:r>
        <w:rPr>
          <w:b/>
          <w:color w:val="000000"/>
        </w:rPr>
        <w:t>Case study 1: Cladding disputes post-Grenfell</w:t>
      </w:r>
    </w:p>
    <w:p w14:paraId="6EE8A53D" w14:textId="77777777" w:rsidR="00D15116" w:rsidRDefault="00000000" w:rsidP="00AA05E9">
      <w:r>
        <w:t xml:space="preserve">Following the Grenfell disaster, a multitude of buildings were found to have unsafe cladding, resulting in extensive legal battles and financial liabilities. Leaseholders in buildings such as </w:t>
      </w:r>
      <w:proofErr w:type="spellStart"/>
      <w:r>
        <w:t>Citiscape</w:t>
      </w:r>
      <w:proofErr w:type="spellEnd"/>
      <w:r>
        <w:t xml:space="preserve"> in Croydon were billed for cladding replacement, leading to disputes over who should bear the cost. This case underscores the importance of safety compliance clauses in contracts, protecting leaseholders and contractors from unforeseen liabilities.</w:t>
      </w:r>
    </w:p>
    <w:p w14:paraId="6E1801BB" w14:textId="77777777" w:rsidR="00D15116" w:rsidRDefault="00000000" w:rsidP="00AA05E9">
      <w:r>
        <w:rPr>
          <w:b/>
          <w:color w:val="000000"/>
        </w:rPr>
        <w:t xml:space="preserve">Resource: </w:t>
      </w:r>
      <w:hyperlink r:id="rId6">
        <w:r w:rsidR="00D15116">
          <w:rPr>
            <w:color w:val="0000FF"/>
            <w:u w:val="single"/>
          </w:rPr>
          <w:t>https://www.bbc.co.uk/news/explainers-56015129</w:t>
        </w:r>
      </w:hyperlink>
    </w:p>
    <w:p w14:paraId="73D87C7B" w14:textId="77777777" w:rsidR="00D15116" w:rsidRDefault="00000000">
      <w:pPr>
        <w:rPr>
          <w:b/>
          <w:color w:val="000000"/>
        </w:rPr>
      </w:pPr>
      <w:r>
        <w:rPr>
          <w:b/>
          <w:color w:val="000000"/>
        </w:rPr>
        <w:t>Case study 2: Edinburgh schools PFI collapse</w:t>
      </w:r>
    </w:p>
    <w:p w14:paraId="532C830D" w14:textId="77777777" w:rsidR="00D15116" w:rsidRDefault="00000000" w:rsidP="00AA05E9">
      <w:r>
        <w:t>In 2016, 17 schools in Edinburgh were closed due to structural defects discovered in walls built under a Private Finance Initiative (PFI) contract. This incident showcases the importance of inspection and quality control in construction contracts. It highlights how the lack of robust contractual terms for safety inspections can lead to major structural failures, emphasising the need for detailed quality clauses in contracts.</w:t>
      </w:r>
    </w:p>
    <w:p w14:paraId="6DAC7A0A" w14:textId="77777777" w:rsidR="00D15116" w:rsidRDefault="00000000">
      <w:pPr>
        <w:shd w:val="clear" w:color="auto" w:fill="FFFFFF"/>
        <w:spacing w:after="120"/>
      </w:pPr>
      <w:r>
        <w:rPr>
          <w:b/>
          <w:color w:val="000000"/>
        </w:rPr>
        <w:t xml:space="preserve">Resource: </w:t>
      </w:r>
      <w:hyperlink r:id="rId7">
        <w:r w:rsidR="00D15116">
          <w:rPr>
            <w:color w:val="0000FF"/>
            <w:u w:val="single"/>
          </w:rPr>
          <w:t>https://www.bbc.co.uk/news/uk-scotland-38921614</w:t>
        </w:r>
      </w:hyperlink>
    </w:p>
    <w:p w14:paraId="0AA4204A" w14:textId="77777777" w:rsidR="00D15116" w:rsidRDefault="00000000">
      <w:pPr>
        <w:rPr>
          <w:b/>
          <w:color w:val="000000"/>
        </w:rPr>
      </w:pPr>
      <w:r>
        <w:rPr>
          <w:b/>
          <w:color w:val="000000"/>
        </w:rPr>
        <w:t>Case study 3: Differences between NEC and JCT contracts</w:t>
      </w:r>
    </w:p>
    <w:p w14:paraId="557769FC" w14:textId="77777777" w:rsidR="00D15116" w:rsidRDefault="00000000" w:rsidP="00AA05E9">
      <w:pPr>
        <w:rPr>
          <w:b/>
          <w:color w:val="000000"/>
        </w:rPr>
      </w:pPr>
      <w:r>
        <w:rPr>
          <w:b/>
          <w:color w:val="000000"/>
        </w:rPr>
        <w:t>Video resource</w:t>
      </w:r>
      <w:r>
        <w:rPr>
          <w:color w:val="000000"/>
        </w:rPr>
        <w:t xml:space="preserve">: </w:t>
      </w:r>
      <w:hyperlink r:id="rId8">
        <w:r w:rsidR="00D15116">
          <w:rPr>
            <w:color w:val="0000FF"/>
            <w:u w:val="single"/>
          </w:rPr>
          <w:t>https://www.youtube.com/watch?v=n16xNEjpJHk</w:t>
        </w:r>
      </w:hyperlink>
      <w:r>
        <w:rPr>
          <w:color w:val="000000"/>
        </w:rPr>
        <w:t xml:space="preserve"> </w:t>
      </w:r>
      <w:r>
        <w:t>(</w:t>
      </w:r>
      <w:proofErr w:type="spellStart"/>
      <w:r>
        <w:t>Metroun</w:t>
      </w:r>
      <w:proofErr w:type="spellEnd"/>
      <w:r>
        <w:t xml:space="preserve"> Quantity Surveying / YouTube)</w:t>
      </w:r>
    </w:p>
    <w:p w14:paraId="6129BDBD" w14:textId="77777777" w:rsidR="00D15116" w:rsidRDefault="00000000" w:rsidP="00AA05E9">
      <w:pPr>
        <w:rPr>
          <w:color w:val="000000"/>
        </w:rPr>
      </w:pPr>
      <w:r>
        <w:rPr>
          <w:color w:val="000000"/>
        </w:rPr>
        <w:t>This video explains the differences between NEC and JCT contracts, including their approaches to dispute resolution and managing contract variations. This resource can help you understand the importance of clear dispute resolution terms and contract flexibility in real-world scenarios.</w:t>
      </w:r>
    </w:p>
    <w:p w14:paraId="1960E9A8" w14:textId="77777777" w:rsidR="00D15116" w:rsidRDefault="00000000">
      <w:pPr>
        <w:shd w:val="clear" w:color="auto" w:fill="FFFFFF"/>
        <w:spacing w:after="0"/>
        <w:rPr>
          <w:b/>
          <w:color w:val="000000"/>
        </w:rPr>
      </w:pPr>
      <w:r>
        <w:rPr>
          <w:b/>
          <w:color w:val="000000"/>
        </w:rPr>
        <w:t xml:space="preserve">Further video resource: </w:t>
      </w:r>
      <w:hyperlink r:id="rId9">
        <w:r w:rsidR="00D15116">
          <w:rPr>
            <w:color w:val="0000FF"/>
            <w:u w:val="single"/>
          </w:rPr>
          <w:t>https://www.youtube.com/watch?v=Bdmy8F784Pk</w:t>
        </w:r>
      </w:hyperlink>
      <w:r>
        <w:t xml:space="preserve"> (Sky News / YouTube)</w:t>
      </w:r>
    </w:p>
    <w:p w14:paraId="35F09E62" w14:textId="77777777" w:rsidR="00D15116" w:rsidRDefault="00D15116">
      <w:pPr>
        <w:rPr>
          <w:b/>
        </w:rPr>
      </w:pPr>
    </w:p>
    <w:p w14:paraId="6AF8F2F6" w14:textId="77777777" w:rsidR="00D15116" w:rsidRDefault="00000000">
      <w:pPr>
        <w:rPr>
          <w:b/>
        </w:rPr>
      </w:pPr>
      <w:r>
        <w:rPr>
          <w:b/>
        </w:rPr>
        <w:t>Reflection and Discussion</w:t>
      </w:r>
    </w:p>
    <w:p w14:paraId="6B8DADA4" w14:textId="77777777" w:rsidR="00D15116" w:rsidRDefault="00000000">
      <w:pPr>
        <w:rPr>
          <w:color w:val="000000"/>
        </w:rPr>
      </w:pPr>
      <w:r>
        <w:t>…………………………………………………………………………………………………………………………………………………………………………………………………………………………………………………………………………………………………………………………………………………………………………………………………………………………………………………………………………………………………………………………………………………………………</w:t>
      </w:r>
    </w:p>
    <w:sectPr w:rsidR="00D151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50F" w14:textId="77777777" w:rsidR="00C87868" w:rsidRDefault="00C87868">
      <w:pPr>
        <w:spacing w:after="0" w:line="240" w:lineRule="auto"/>
      </w:pPr>
      <w:r>
        <w:separator/>
      </w:r>
    </w:p>
  </w:endnote>
  <w:endnote w:type="continuationSeparator" w:id="0">
    <w:p w14:paraId="2BAC5199" w14:textId="77777777" w:rsidR="00C87868" w:rsidRDefault="00C8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EDAE" w14:textId="77777777" w:rsidR="00D15116" w:rsidRDefault="00D15116">
    <w:pPr>
      <w:widowControl w:val="0"/>
      <w:pBdr>
        <w:top w:val="nil"/>
        <w:left w:val="nil"/>
        <w:bottom w:val="nil"/>
        <w:right w:val="nil"/>
        <w:between w:val="nil"/>
      </w:pBdr>
      <w:spacing w:after="0" w:line="276" w:lineRule="auto"/>
      <w:rPr>
        <w:sz w:val="20"/>
        <w:szCs w:val="20"/>
      </w:rPr>
    </w:pPr>
  </w:p>
  <w:tbl>
    <w:tblPr>
      <w:tblStyle w:val="a1"/>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D15116" w14:paraId="2079D24A" w14:textId="77777777">
      <w:tc>
        <w:tcPr>
          <w:tcW w:w="6508" w:type="dxa"/>
        </w:tcPr>
        <w:p w14:paraId="0ED20A06" w14:textId="77777777" w:rsidR="00D15116"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2AD74B8B" w14:textId="77777777" w:rsidR="00D1511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7C851C99" w14:textId="77777777" w:rsidR="00D15116" w:rsidRDefault="00D15116">
    <w:pPr>
      <w:pBdr>
        <w:top w:val="nil"/>
        <w:left w:val="nil"/>
        <w:bottom w:val="nil"/>
        <w:right w:val="nil"/>
        <w:between w:val="nil"/>
      </w:pBdr>
      <w:tabs>
        <w:tab w:val="center" w:pos="4513"/>
        <w:tab w:val="right" w:pos="9026"/>
      </w:tabs>
      <w:spacing w:after="0" w:line="240" w:lineRule="auto"/>
      <w:jc w:val="right"/>
      <w:rPr>
        <w:sz w:val="20"/>
        <w:szCs w:val="20"/>
      </w:rPr>
    </w:pPr>
  </w:p>
  <w:p w14:paraId="19A710DF" w14:textId="77777777" w:rsidR="00D15116"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F7B4" w14:textId="77777777" w:rsidR="00D15116" w:rsidRDefault="00D15116">
    <w:pPr>
      <w:widowControl w:val="0"/>
      <w:pBdr>
        <w:top w:val="nil"/>
        <w:left w:val="nil"/>
        <w:bottom w:val="nil"/>
        <w:right w:val="nil"/>
        <w:between w:val="nil"/>
      </w:pBdr>
      <w:spacing w:after="0" w:line="276" w:lineRule="auto"/>
    </w:pPr>
  </w:p>
  <w:tbl>
    <w:tblPr>
      <w:tblStyle w:val="a2"/>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D15116" w14:paraId="36D0F00C" w14:textId="77777777" w:rsidTr="008770D7">
      <w:tc>
        <w:tcPr>
          <w:tcW w:w="5387" w:type="dxa"/>
          <w:tcBorders>
            <w:bottom w:val="single" w:sz="12" w:space="0" w:color="EBDDF4"/>
          </w:tcBorders>
        </w:tcPr>
        <w:p w14:paraId="06C77C67" w14:textId="77777777" w:rsidR="00D15116"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2DFC1DE3" w14:textId="77777777" w:rsidR="00D15116"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3C135639" w14:textId="77777777" w:rsidR="00D15116" w:rsidRDefault="00D15116" w:rsidP="008770D7">
          <w:pPr>
            <w:pBdr>
              <w:top w:val="nil"/>
              <w:left w:val="nil"/>
              <w:bottom w:val="nil"/>
              <w:right w:val="nil"/>
              <w:between w:val="nil"/>
            </w:pBdr>
            <w:tabs>
              <w:tab w:val="center" w:pos="4513"/>
              <w:tab w:val="right" w:pos="9026"/>
            </w:tabs>
            <w:spacing w:after="120" w:line="240" w:lineRule="auto"/>
            <w:ind w:left="-385"/>
            <w:jc w:val="right"/>
            <w:rPr>
              <w:sz w:val="18"/>
              <w:szCs w:val="18"/>
            </w:rPr>
          </w:pPr>
        </w:p>
        <w:p w14:paraId="4CDF8A7E" w14:textId="77777777" w:rsidR="00D15116" w:rsidRDefault="00000000" w:rsidP="008770D7">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0895C1E6" w14:textId="77777777" w:rsidR="00D15116" w:rsidRDefault="00D15116">
    <w:pPr>
      <w:widowControl w:val="0"/>
      <w:pBdr>
        <w:top w:val="nil"/>
        <w:left w:val="nil"/>
        <w:bottom w:val="nil"/>
        <w:right w:val="nil"/>
        <w:between w:val="nil"/>
      </w:pBdr>
      <w:spacing w:after="0" w:line="276" w:lineRule="auto"/>
      <w:rPr>
        <w:color w:val="808080"/>
        <w:sz w:val="20"/>
        <w:szCs w:val="20"/>
      </w:rPr>
    </w:pPr>
  </w:p>
  <w:p w14:paraId="743C373E" w14:textId="77777777" w:rsidR="00D15116"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AA05E9">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B65C" w14:textId="77777777" w:rsidR="00D15116" w:rsidRDefault="00D15116">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259D" w14:textId="77777777" w:rsidR="00C87868" w:rsidRDefault="00C87868">
      <w:pPr>
        <w:spacing w:after="0" w:line="240" w:lineRule="auto"/>
      </w:pPr>
      <w:r>
        <w:separator/>
      </w:r>
    </w:p>
  </w:footnote>
  <w:footnote w:type="continuationSeparator" w:id="0">
    <w:p w14:paraId="61120EF1" w14:textId="77777777" w:rsidR="00C87868" w:rsidRDefault="00C8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27E5" w14:textId="77777777" w:rsidR="00D15116" w:rsidRDefault="00D15116">
    <w:pPr>
      <w:widowControl w:val="0"/>
      <w:pBdr>
        <w:top w:val="nil"/>
        <w:left w:val="nil"/>
        <w:bottom w:val="nil"/>
        <w:right w:val="nil"/>
        <w:between w:val="nil"/>
      </w:pBdr>
      <w:spacing w:after="0" w:line="276" w:lineRule="auto"/>
    </w:pPr>
  </w:p>
  <w:tbl>
    <w:tblPr>
      <w:tblStyle w:val="a"/>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D15116" w14:paraId="5299E0B9" w14:textId="77777777">
      <w:tc>
        <w:tcPr>
          <w:tcW w:w="1376" w:type="dxa"/>
        </w:tcPr>
        <w:p w14:paraId="1A9B2F38" w14:textId="77777777" w:rsidR="00D15116"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6AA2C188" wp14:editId="00E76D4E">
                <wp:simplePos x="0" y="0"/>
                <wp:positionH relativeFrom="column">
                  <wp:posOffset>-6813</wp:posOffset>
                </wp:positionH>
                <wp:positionV relativeFrom="paragraph">
                  <wp:posOffset>-133291</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4E6F4591" w14:textId="77777777" w:rsidR="00D1511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1DCCBDCB" w14:textId="77777777" w:rsidR="00D1511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744EFA16" w14:textId="77777777" w:rsidR="00D15116" w:rsidRDefault="00D1511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1F06" w14:textId="77777777" w:rsidR="00D15116" w:rsidRDefault="00D15116">
    <w:pPr>
      <w:widowControl w:val="0"/>
      <w:pBdr>
        <w:top w:val="nil"/>
        <w:left w:val="nil"/>
        <w:bottom w:val="nil"/>
        <w:right w:val="nil"/>
        <w:between w:val="nil"/>
      </w:pBdr>
      <w:spacing w:after="0" w:line="276" w:lineRule="auto"/>
    </w:pPr>
  </w:p>
  <w:tbl>
    <w:tblPr>
      <w:tblStyle w:val="a0"/>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D15116" w14:paraId="3594DF27" w14:textId="77777777">
      <w:tc>
        <w:tcPr>
          <w:tcW w:w="2127" w:type="dxa"/>
          <w:tcBorders>
            <w:bottom w:val="single" w:sz="12" w:space="0" w:color="EBDDF4"/>
          </w:tcBorders>
        </w:tcPr>
        <w:p w14:paraId="6282CDE5" w14:textId="77777777" w:rsidR="00D15116" w:rsidRDefault="00D15116">
          <w:pPr>
            <w:pBdr>
              <w:top w:val="nil"/>
              <w:left w:val="nil"/>
              <w:bottom w:val="nil"/>
              <w:right w:val="nil"/>
              <w:between w:val="nil"/>
            </w:pBdr>
            <w:tabs>
              <w:tab w:val="center" w:pos="4513"/>
              <w:tab w:val="right" w:pos="9026"/>
            </w:tabs>
            <w:spacing w:after="120"/>
            <w:rPr>
              <w:sz w:val="20"/>
              <w:szCs w:val="20"/>
            </w:rPr>
          </w:pPr>
          <w:bookmarkStart w:id="0" w:name="_pqlj3ltsf7zo" w:colFirst="0" w:colLast="0"/>
          <w:bookmarkEnd w:id="0"/>
        </w:p>
      </w:tc>
      <w:tc>
        <w:tcPr>
          <w:tcW w:w="6889" w:type="dxa"/>
          <w:tcBorders>
            <w:bottom w:val="single" w:sz="12" w:space="0" w:color="EBDDF4"/>
          </w:tcBorders>
        </w:tcPr>
        <w:p w14:paraId="4F21A42E" w14:textId="77777777" w:rsidR="00D1511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6: What are the legalities of a contract?</w:t>
          </w:r>
        </w:p>
        <w:p w14:paraId="58A463C8" w14:textId="15C9A83A" w:rsidR="00D15116" w:rsidRDefault="00956393">
          <w:pPr>
            <w:pBdr>
              <w:top w:val="nil"/>
              <w:left w:val="nil"/>
              <w:bottom w:val="nil"/>
              <w:right w:val="nil"/>
              <w:between w:val="nil"/>
            </w:pBdr>
            <w:tabs>
              <w:tab w:val="center" w:pos="4513"/>
              <w:tab w:val="right" w:pos="9026"/>
            </w:tabs>
            <w:spacing w:after="120"/>
            <w:jc w:val="right"/>
            <w:rPr>
              <w:sz w:val="20"/>
              <w:szCs w:val="20"/>
            </w:rPr>
          </w:pPr>
          <w:r>
            <w:rPr>
              <w:sz w:val="20"/>
              <w:szCs w:val="20"/>
            </w:rPr>
            <w:t>Consolidation Worksheet</w:t>
          </w:r>
        </w:p>
      </w:tc>
    </w:tr>
  </w:tbl>
  <w:p w14:paraId="2B41996F" w14:textId="77777777" w:rsidR="00D15116"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4958F638" wp14:editId="74EA949D">
          <wp:simplePos x="0" y="0"/>
          <wp:positionH relativeFrom="column">
            <wp:posOffset>12</wp:posOffset>
          </wp:positionH>
          <wp:positionV relativeFrom="paragraph">
            <wp:posOffset>-601333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5BCD" w14:textId="77777777" w:rsidR="00D15116" w:rsidRDefault="00D15116">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16"/>
    <w:rsid w:val="004D3210"/>
    <w:rsid w:val="00504673"/>
    <w:rsid w:val="005275EC"/>
    <w:rsid w:val="00740BBD"/>
    <w:rsid w:val="008770D7"/>
    <w:rsid w:val="008E2B9E"/>
    <w:rsid w:val="00956393"/>
    <w:rsid w:val="00AA05E9"/>
    <w:rsid w:val="00C87868"/>
    <w:rsid w:val="00D15116"/>
    <w:rsid w:val="00F2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n16xNEjpJH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bbc.co.uk/news/uk-scotland-389216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bbc.co.uk/news/explainers-56015129"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youtube.com/watch?v=Bdmy8F784P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07C6A-6135-4BAA-B5C5-81C8536842EE}"/>
</file>

<file path=customXml/itemProps2.xml><?xml version="1.0" encoding="utf-8"?>
<ds:datastoreItem xmlns:ds="http://schemas.openxmlformats.org/officeDocument/2006/customXml" ds:itemID="{3A6C3801-3095-413F-B164-922317934470}"/>
</file>

<file path=customXml/itemProps3.xml><?xml version="1.0" encoding="utf-8"?>
<ds:datastoreItem xmlns:ds="http://schemas.openxmlformats.org/officeDocument/2006/customXml" ds:itemID="{491A8DEE-4F58-4771-9063-47448CD98C55}"/>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2025-06-24T15:04:00Z</dcterms:created>
  <dcterms:modified xsi:type="dcterms:W3CDTF">2025-06-24T15:04:00Z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