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BA67A6" w14:textId="77777777" w:rsidR="0075333B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D2E8E9"/>
        <w:spacing w:before="240" w:after="200"/>
        <w:rPr>
          <w:b/>
          <w:color w:val="326367"/>
          <w:sz w:val="40"/>
          <w:szCs w:val="40"/>
        </w:rPr>
      </w:pPr>
      <w:r>
        <w:rPr>
          <w:b/>
          <w:color w:val="326367"/>
          <w:sz w:val="40"/>
          <w:szCs w:val="40"/>
        </w:rPr>
        <w:t>Activity 1: Rolling averages answers</w:t>
      </w:r>
    </w:p>
    <w:p w14:paraId="48273FD1" w14:textId="77777777" w:rsidR="007533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right="-113" w:hanging="426"/>
        <w:rPr>
          <w:color w:val="000000"/>
        </w:rPr>
      </w:pPr>
      <w:r>
        <w:rPr>
          <w:b/>
          <w:color w:val="000000"/>
        </w:rPr>
        <w:t>Look at the rolling 7-, 14- and 21-day averages in the interactive. What happens to the range of the rolling average as the number of averaging points increases?</w:t>
      </w:r>
    </w:p>
    <w:p w14:paraId="24C82013" w14:textId="77777777" w:rsidR="00753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-113"/>
        <w:rPr>
          <w:color w:val="000000"/>
        </w:rPr>
      </w:pPr>
      <w:r>
        <w:rPr>
          <w:color w:val="000000"/>
        </w:rPr>
        <w:t xml:space="preserve">The variation in the rolling average values reduces – the high and low values move 'closer together'. </w:t>
      </w:r>
    </w:p>
    <w:p w14:paraId="2C834901" w14:textId="77777777" w:rsidR="0075333B" w:rsidRDefault="0075333B">
      <w:pPr>
        <w:pBdr>
          <w:top w:val="nil"/>
          <w:left w:val="nil"/>
          <w:bottom w:val="nil"/>
          <w:right w:val="nil"/>
          <w:between w:val="nil"/>
        </w:pBdr>
        <w:spacing w:after="0"/>
        <w:ind w:left="792" w:right="-113"/>
        <w:rPr>
          <w:color w:val="000000"/>
        </w:rPr>
      </w:pPr>
    </w:p>
    <w:p w14:paraId="43946582" w14:textId="77777777" w:rsidR="0075333B" w:rsidRDefault="00000000">
      <w:pPr>
        <w:spacing w:after="0"/>
        <w:ind w:left="426" w:hanging="426"/>
        <w:rPr>
          <w:color w:val="000000"/>
        </w:rPr>
      </w:pPr>
      <w:r>
        <w:rPr>
          <w:color w:val="000000"/>
        </w:rPr>
        <w:t>2.</w:t>
      </w:r>
      <w:r>
        <w:rPr>
          <w:color w:val="000000"/>
        </w:rPr>
        <w:tab/>
      </w:r>
      <w:r>
        <w:rPr>
          <w:b/>
          <w:color w:val="000000"/>
        </w:rPr>
        <w:t>The last value in each case is given below</w:t>
      </w:r>
      <w:r>
        <w:rPr>
          <w:color w:val="000000"/>
        </w:rPr>
        <w:t>.</w:t>
      </w:r>
    </w:p>
    <w:tbl>
      <w:tblPr>
        <w:tblStyle w:val="a"/>
        <w:tblW w:w="6095" w:type="dxa"/>
        <w:tblInd w:w="562" w:type="dxa"/>
        <w:tblBorders>
          <w:top w:val="single" w:sz="4" w:space="0" w:color="326367"/>
          <w:left w:val="single" w:sz="4" w:space="0" w:color="326367"/>
          <w:bottom w:val="single" w:sz="4" w:space="0" w:color="326367"/>
          <w:right w:val="single" w:sz="4" w:space="0" w:color="326367"/>
          <w:insideH w:val="single" w:sz="4" w:space="0" w:color="326367"/>
          <w:insideV w:val="single" w:sz="4" w:space="0" w:color="326367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3401"/>
      </w:tblGrid>
      <w:tr w:rsidR="0075333B" w14:paraId="76E7EFD8" w14:textId="77777777">
        <w:tc>
          <w:tcPr>
            <w:tcW w:w="2694" w:type="dxa"/>
            <w:shd w:val="clear" w:color="auto" w:fill="D2E8E9"/>
          </w:tcPr>
          <w:p w14:paraId="2F070445" w14:textId="77777777" w:rsidR="0075333B" w:rsidRDefault="00000000">
            <w:pPr>
              <w:rPr>
                <w:b/>
                <w:color w:val="326367"/>
              </w:rPr>
            </w:pPr>
            <w:r>
              <w:rPr>
                <w:b/>
                <w:color w:val="326367"/>
              </w:rPr>
              <w:t>Days to average</w:t>
            </w:r>
          </w:p>
        </w:tc>
        <w:tc>
          <w:tcPr>
            <w:tcW w:w="3401" w:type="dxa"/>
            <w:shd w:val="clear" w:color="auto" w:fill="D2E8E9"/>
          </w:tcPr>
          <w:p w14:paraId="3B3B8EF4" w14:textId="77777777" w:rsidR="0075333B" w:rsidRDefault="00000000">
            <w:pPr>
              <w:rPr>
                <w:b/>
                <w:color w:val="326367"/>
              </w:rPr>
            </w:pPr>
            <w:r>
              <w:rPr>
                <w:b/>
                <w:color w:val="326367"/>
              </w:rPr>
              <w:t>Most recent average value</w:t>
            </w:r>
          </w:p>
        </w:tc>
      </w:tr>
      <w:tr w:rsidR="0075333B" w14:paraId="3648C8FD" w14:textId="77777777">
        <w:tc>
          <w:tcPr>
            <w:tcW w:w="2694" w:type="dxa"/>
          </w:tcPr>
          <w:p w14:paraId="3AE91D11" w14:textId="77777777" w:rsidR="0075333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401" w:type="dxa"/>
          </w:tcPr>
          <w:p w14:paraId="1C0CE8B9" w14:textId="77777777" w:rsidR="0075333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2.00</w:t>
            </w:r>
          </w:p>
        </w:tc>
      </w:tr>
      <w:tr w:rsidR="0075333B" w14:paraId="50C761F8" w14:textId="77777777">
        <w:tc>
          <w:tcPr>
            <w:tcW w:w="2694" w:type="dxa"/>
          </w:tcPr>
          <w:p w14:paraId="21536C33" w14:textId="77777777" w:rsidR="0075333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401" w:type="dxa"/>
          </w:tcPr>
          <w:p w14:paraId="186AB5A6" w14:textId="77777777" w:rsidR="0075333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2.14</w:t>
            </w:r>
          </w:p>
        </w:tc>
      </w:tr>
      <w:tr w:rsidR="0075333B" w14:paraId="299D4732" w14:textId="77777777">
        <w:tc>
          <w:tcPr>
            <w:tcW w:w="2694" w:type="dxa"/>
          </w:tcPr>
          <w:p w14:paraId="0C063792" w14:textId="77777777" w:rsidR="0075333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401" w:type="dxa"/>
          </w:tcPr>
          <w:p w14:paraId="658E92A9" w14:textId="77777777" w:rsidR="0075333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1.95</w:t>
            </w:r>
          </w:p>
        </w:tc>
      </w:tr>
      <w:tr w:rsidR="0075333B" w14:paraId="0E58EAF7" w14:textId="77777777">
        <w:tc>
          <w:tcPr>
            <w:tcW w:w="2694" w:type="dxa"/>
          </w:tcPr>
          <w:p w14:paraId="11C10EED" w14:textId="77777777" w:rsidR="0075333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401" w:type="dxa"/>
          </w:tcPr>
          <w:p w14:paraId="366651B2" w14:textId="77777777" w:rsidR="0075333B" w:rsidRDefault="00000000">
            <w:pPr>
              <w:rPr>
                <w:color w:val="000000"/>
              </w:rPr>
            </w:pPr>
            <w:r>
              <w:rPr>
                <w:color w:val="000000"/>
              </w:rPr>
              <w:t>2.00</w:t>
            </w:r>
          </w:p>
        </w:tc>
      </w:tr>
    </w:tbl>
    <w:p w14:paraId="043ABC48" w14:textId="77777777" w:rsidR="0075333B" w:rsidRDefault="0075333B">
      <w:pPr>
        <w:spacing w:after="0"/>
        <w:rPr>
          <w:color w:val="000000"/>
        </w:rPr>
      </w:pPr>
    </w:p>
    <w:p w14:paraId="5C55D29F" w14:textId="77777777" w:rsidR="0075333B" w:rsidRDefault="00000000">
      <w:pPr>
        <w:spacing w:after="0"/>
        <w:ind w:left="426" w:hanging="426"/>
        <w:rPr>
          <w:b/>
          <w:color w:val="000000"/>
        </w:rPr>
      </w:pPr>
      <w:r>
        <w:rPr>
          <w:color w:val="000000"/>
        </w:rPr>
        <w:tab/>
      </w:r>
      <w:r>
        <w:rPr>
          <w:b/>
          <w:color w:val="000000"/>
        </w:rPr>
        <w:t xml:space="preserve">The most recent average values are 2. Does this mean that a 7-day average is the same as a 28-day average? </w:t>
      </w:r>
    </w:p>
    <w:p w14:paraId="637E0E01" w14:textId="77777777" w:rsidR="0075333B" w:rsidRDefault="0000000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No – the result is pure luck. Consider how widely the 7-day average fluctuates. It could have given a very different answer.</w:t>
      </w:r>
    </w:p>
    <w:p w14:paraId="75EC19F2" w14:textId="77777777" w:rsidR="0075333B" w:rsidRDefault="00000000">
      <w:pPr>
        <w:spacing w:before="240" w:after="0"/>
        <w:ind w:left="426" w:hanging="426"/>
        <w:rPr>
          <w:b/>
          <w:i/>
          <w:color w:val="000000"/>
        </w:rPr>
      </w:pPr>
      <w:r>
        <w:rPr>
          <w:color w:val="000000"/>
        </w:rPr>
        <w:t>3.</w:t>
      </w:r>
      <w:r>
        <w:rPr>
          <w:color w:val="000000"/>
        </w:rPr>
        <w:tab/>
      </w:r>
      <w:r>
        <w:rPr>
          <w:b/>
          <w:color w:val="000000"/>
        </w:rPr>
        <w:t>The organisation will use a 28-day rolling average value to predict the demand for the next 28 days. In this case, the demand will be taken as two per day for 28 days, giving a total of 56 items.</w:t>
      </w:r>
      <w:r>
        <w:rPr>
          <w:b/>
          <w:i/>
          <w:color w:val="000000"/>
        </w:rPr>
        <w:t xml:space="preserve"> </w:t>
      </w:r>
    </w:p>
    <w:p w14:paraId="7DAC5418" w14:textId="77777777" w:rsidR="0075333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Is taking the average in this way sensible? </w:t>
      </w:r>
    </w:p>
    <w:p w14:paraId="57230E3C" w14:textId="77777777" w:rsidR="0075333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 xml:space="preserve">What factors could lead to problems with the approach? </w:t>
      </w:r>
    </w:p>
    <w:p w14:paraId="76E5F4D3" w14:textId="77777777" w:rsidR="0075333B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</w:rPr>
      </w:pPr>
      <w:r>
        <w:rPr>
          <w:b/>
          <w:color w:val="000000"/>
        </w:rPr>
        <w:t>How could you correct for these issues?</w:t>
      </w:r>
    </w:p>
    <w:p w14:paraId="6EEE4B78" w14:textId="77777777" w:rsidR="0075333B" w:rsidRDefault="0075333B">
      <w:pPr>
        <w:widowControl w:val="0"/>
        <w:spacing w:after="120"/>
        <w:rPr>
          <w:i/>
          <w:color w:val="000000"/>
          <w:sz w:val="4"/>
          <w:szCs w:val="4"/>
        </w:rPr>
      </w:pPr>
    </w:p>
    <w:p w14:paraId="46D22E82" w14:textId="77777777" w:rsidR="0075333B" w:rsidRDefault="00000000">
      <w:pPr>
        <w:widowControl w:val="0"/>
        <w:spacing w:after="120"/>
        <w:ind w:left="426"/>
        <w:rPr>
          <w:color w:val="000000"/>
        </w:rPr>
      </w:pPr>
      <w:r>
        <w:rPr>
          <w:color w:val="000000"/>
        </w:rPr>
        <w:t xml:space="preserve">The approach is sensible if average demand over time is not changing, or is changing slowly so that a period looks very similar to the one before it. </w:t>
      </w:r>
    </w:p>
    <w:p w14:paraId="084F0B12" w14:textId="77777777" w:rsidR="0075333B" w:rsidRDefault="00000000">
      <w:pPr>
        <w:widowControl w:val="0"/>
        <w:spacing w:after="120"/>
        <w:ind w:left="426"/>
        <w:rPr>
          <w:color w:val="000000"/>
        </w:rPr>
      </w:pPr>
      <w:r>
        <w:rPr>
          <w:color w:val="000000"/>
        </w:rPr>
        <w:t xml:space="preserve">More sophisticated forecasting will take account of trends such as changing demand over time. This could be because of increased or decreased interest in a product, or because of seasonal effects that vary throughout the year. </w:t>
      </w:r>
    </w:p>
    <w:p w14:paraId="5B685CD9" w14:textId="77777777" w:rsidR="0075333B" w:rsidRDefault="00000000">
      <w:pPr>
        <w:widowControl w:val="0"/>
        <w:spacing w:after="120"/>
        <w:ind w:left="426"/>
        <w:rPr>
          <w:color w:val="000000"/>
        </w:rPr>
      </w:pPr>
      <w:r>
        <w:rPr>
          <w:color w:val="000000"/>
        </w:rPr>
        <w:t xml:space="preserve">In this example, where the product is a mobile phone, it might be expected that the demand from mid-October to mid-November will be lower than that for mid-November to mid-December as Christmas sales would be expected to improve demand. </w:t>
      </w:r>
    </w:p>
    <w:p w14:paraId="4DBECA39" w14:textId="77777777" w:rsidR="0075333B" w:rsidRDefault="00000000">
      <w:pPr>
        <w:widowControl w:val="0"/>
        <w:spacing w:after="120"/>
        <w:ind w:left="426"/>
        <w:rPr>
          <w:color w:val="000000"/>
        </w:rPr>
      </w:pPr>
      <w:r>
        <w:rPr>
          <w:color w:val="000000"/>
        </w:rPr>
        <w:t xml:space="preserve">In this case the manufacturer could refer to the previous year’s December demand either in isolation, or with respect to the previous year’s November demand, to improve the forecast. </w:t>
      </w:r>
    </w:p>
    <w:sectPr w:rsidR="007533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700" w:bottom="1440" w:left="1247" w:header="709" w:footer="4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046DD" w14:textId="77777777" w:rsidR="00742C48" w:rsidRDefault="00742C48">
      <w:pPr>
        <w:spacing w:after="0" w:line="240" w:lineRule="auto"/>
      </w:pPr>
      <w:r>
        <w:separator/>
      </w:r>
    </w:p>
  </w:endnote>
  <w:endnote w:type="continuationSeparator" w:id="0">
    <w:p w14:paraId="1CA1AD93" w14:textId="77777777" w:rsidR="00742C48" w:rsidRDefault="00742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D3717DC-D632-4228-9D05-F1CFA8375E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BE288AD-51E1-44FB-9E34-1A87E1ECD3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7148847-C5CA-469F-B36E-4D6A2AFCF4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AF0F5" w14:textId="77777777" w:rsidR="0075333B" w:rsidRDefault="007533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090BC" w14:textId="77777777" w:rsidR="0075333B" w:rsidRDefault="007533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</w:p>
  <w:tbl>
    <w:tblPr>
      <w:tblStyle w:val="a1"/>
      <w:tblW w:w="9158" w:type="dxa"/>
      <w:tblInd w:w="0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709"/>
      <w:gridCol w:w="3062"/>
    </w:tblGrid>
    <w:tr w:rsidR="0075333B" w14:paraId="3A2B79D6" w14:textId="77777777">
      <w:tc>
        <w:tcPr>
          <w:tcW w:w="6096" w:type="dxa"/>
          <w:gridSpan w:val="2"/>
        </w:tcPr>
        <w:p w14:paraId="18BD322C" w14:textId="77777777" w:rsidR="0075333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Engineering and Manufacturing: Stock and asset management</w:t>
          </w:r>
        </w:p>
      </w:tc>
      <w:tc>
        <w:tcPr>
          <w:tcW w:w="3062" w:type="dxa"/>
        </w:tcPr>
        <w:p w14:paraId="2D3A8C77" w14:textId="77777777" w:rsidR="0075333B" w:rsidRDefault="007533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rPr>
              <w:sz w:val="20"/>
              <w:szCs w:val="20"/>
            </w:rPr>
          </w:pPr>
        </w:p>
      </w:tc>
    </w:tr>
    <w:tr w:rsidR="0075333B" w14:paraId="7EF2F450" w14:textId="77777777">
      <w:tc>
        <w:tcPr>
          <w:tcW w:w="5387" w:type="dxa"/>
          <w:tcBorders>
            <w:bottom w:val="single" w:sz="12" w:space="0" w:color="D2E8E9"/>
          </w:tcBorders>
        </w:tcPr>
        <w:p w14:paraId="30EDE0F5" w14:textId="77777777" w:rsidR="0075333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Version 1, October 2025</w:t>
          </w:r>
        </w:p>
      </w:tc>
      <w:tc>
        <w:tcPr>
          <w:tcW w:w="3771" w:type="dxa"/>
          <w:gridSpan w:val="2"/>
          <w:tcBorders>
            <w:bottom w:val="single" w:sz="12" w:space="0" w:color="D2E8E9"/>
          </w:tcBorders>
        </w:tcPr>
        <w:p w14:paraId="30DBE528" w14:textId="77777777" w:rsidR="0075333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 w:line="240" w:lineRule="auto"/>
            <w:ind w:left="-385"/>
            <w:jc w:val="right"/>
            <w:rPr>
              <w:sz w:val="18"/>
              <w:szCs w:val="18"/>
            </w:rPr>
          </w:pPr>
          <w:r>
            <w:rPr>
              <w:sz w:val="18"/>
              <w:szCs w:val="18"/>
            </w:rPr>
            <w:t>© Gatsby Technical Education Projects 2025</w:t>
          </w:r>
        </w:p>
      </w:tc>
    </w:tr>
  </w:tbl>
  <w:p w14:paraId="49939786" w14:textId="77777777" w:rsidR="0075333B" w:rsidRDefault="007533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E28D043" w14:textId="77777777" w:rsidR="007533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097A19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10EA5" w14:textId="77777777" w:rsidR="0075333B" w:rsidRDefault="007533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F43A3E" w14:textId="77777777" w:rsidR="00742C48" w:rsidRDefault="00742C48">
      <w:pPr>
        <w:spacing w:after="0" w:line="240" w:lineRule="auto"/>
      </w:pPr>
      <w:r>
        <w:separator/>
      </w:r>
    </w:p>
  </w:footnote>
  <w:footnote w:type="continuationSeparator" w:id="0">
    <w:p w14:paraId="76298EFD" w14:textId="77777777" w:rsidR="00742C48" w:rsidRDefault="00742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4032E" w14:textId="77777777" w:rsidR="0075333B" w:rsidRDefault="007533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E0872" w14:textId="77777777" w:rsidR="0075333B" w:rsidRDefault="0075333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  <w:bookmarkStart w:id="0" w:name="_yqn3gj6e4dmn" w:colFirst="0" w:colLast="0"/>
    <w:bookmarkEnd w:id="0"/>
  </w:p>
  <w:tbl>
    <w:tblPr>
      <w:tblStyle w:val="a0"/>
      <w:tblW w:w="9026" w:type="dxa"/>
      <w:tblInd w:w="0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75333B" w14:paraId="3F76AD45" w14:textId="77777777">
      <w:tc>
        <w:tcPr>
          <w:tcW w:w="2130" w:type="dxa"/>
          <w:tcBorders>
            <w:bottom w:val="single" w:sz="12" w:space="0" w:color="D2E8E9"/>
          </w:tcBorders>
        </w:tcPr>
        <w:p w14:paraId="2A56C19A" w14:textId="77777777" w:rsidR="0075333B" w:rsidRDefault="0075333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D2E8E9"/>
          </w:tcBorders>
        </w:tcPr>
        <w:p w14:paraId="5D4DEFA9" w14:textId="77777777" w:rsidR="0075333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 2: Stock control</w:t>
          </w:r>
        </w:p>
        <w:p w14:paraId="11F00183" w14:textId="77777777" w:rsidR="0075333B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Activity 1 Worksheet answers</w:t>
          </w:r>
        </w:p>
      </w:tc>
    </w:tr>
  </w:tbl>
  <w:p w14:paraId="46E21020" w14:textId="77777777" w:rsidR="007533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3142BCE" wp14:editId="37E1319D">
          <wp:simplePos x="0" y="0"/>
          <wp:positionH relativeFrom="column">
            <wp:posOffset>31</wp:posOffset>
          </wp:positionH>
          <wp:positionV relativeFrom="paragraph">
            <wp:posOffset>-601316</wp:posOffset>
          </wp:positionV>
          <wp:extent cx="1137557" cy="477540"/>
          <wp:effectExtent l="0" t="0" r="0" b="0"/>
          <wp:wrapNone/>
          <wp:docPr id="1" name="image1.png" descr="A black background with a black square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ackground with a black square&#10;&#10;AI-generated content may be incorrect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E3175" w14:textId="77777777" w:rsidR="0075333B" w:rsidRDefault="007533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B13186"/>
    <w:multiLevelType w:val="multilevel"/>
    <w:tmpl w:val="2CECC46C"/>
    <w:lvl w:ilvl="0">
      <w:start w:val="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534814"/>
    <w:multiLevelType w:val="multilevel"/>
    <w:tmpl w:val="DA1AADE0"/>
    <w:lvl w:ilvl="0">
      <w:start w:val="1"/>
      <w:numFmt w:val="decimal"/>
      <w:lvlText w:val="%1."/>
      <w:lvlJc w:val="left"/>
      <w:pPr>
        <w:ind w:left="792" w:hanging="432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6F3138"/>
    <w:multiLevelType w:val="multilevel"/>
    <w:tmpl w:val="138402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57048210">
    <w:abstractNumId w:val="2"/>
  </w:num>
  <w:num w:numId="2" w16cid:durableId="1388263452">
    <w:abstractNumId w:val="1"/>
  </w:num>
  <w:num w:numId="3" w16cid:durableId="14192115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33B"/>
    <w:rsid w:val="00097A19"/>
    <w:rsid w:val="003E4691"/>
    <w:rsid w:val="00742C48"/>
    <w:rsid w:val="0075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D6134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894A64C-930C-4FF4-9F79-1A098ED4573B}"/>
</file>

<file path=customXml/itemProps2.xml><?xml version="1.0" encoding="utf-8"?>
<ds:datastoreItem xmlns:ds="http://schemas.openxmlformats.org/officeDocument/2006/customXml" ds:itemID="{60CDCE38-E2F3-400D-8A9B-B27606972DDA}"/>
</file>

<file path=customXml/itemProps3.xml><?xml version="1.0" encoding="utf-8"?>
<ds:datastoreItem xmlns:ds="http://schemas.openxmlformats.org/officeDocument/2006/customXml" ds:itemID="{F1BF9067-AF85-408D-A02C-91101F2E5D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1537</Characters>
  <Application>Microsoft Office Word</Application>
  <DocSecurity>0</DocSecurity>
  <Lines>12</Lines>
  <Paragraphs>3</Paragraphs>
  <ScaleCrop>false</ScaleCrop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2025-10-13T11:29:00Z</dcterms:created>
  <dcterms:modified xsi:type="dcterms:W3CDTF">2025-10-13T11:29:00Z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