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3F4C9D" w14:textId="77777777" w:rsidR="0049650C" w:rsidRDefault="00D652BF">
      <w:pPr>
        <w:keepNext/>
        <w:keepLines/>
        <w:pBdr>
          <w:top w:val="nil"/>
          <w:left w:val="nil"/>
          <w:bottom w:val="nil"/>
          <w:right w:val="nil"/>
          <w:between w:val="nil"/>
        </w:pBdr>
        <w:shd w:val="clear" w:color="auto" w:fill="FFF5C4"/>
        <w:spacing w:before="240" w:after="200"/>
        <w:rPr>
          <w:b/>
          <w:color w:val="534C29"/>
          <w:sz w:val="40"/>
          <w:szCs w:val="40"/>
        </w:rPr>
      </w:pPr>
      <w:bookmarkStart w:id="0" w:name="_6p4fgnpf2j54" w:colFirst="0" w:colLast="0"/>
      <w:bookmarkEnd w:id="0"/>
      <w:r>
        <w:rPr>
          <w:b/>
          <w:color w:val="534C29"/>
          <w:sz w:val="40"/>
          <w:szCs w:val="40"/>
        </w:rPr>
        <w:t xml:space="preserve">Activity 2: ESP </w:t>
      </w:r>
      <w:proofErr w:type="spellStart"/>
      <w:r>
        <w:rPr>
          <w:b/>
          <w:color w:val="534C29"/>
          <w:sz w:val="40"/>
          <w:szCs w:val="40"/>
        </w:rPr>
        <w:t>mythbusters</w:t>
      </w:r>
      <w:proofErr w:type="spellEnd"/>
    </w:p>
    <w:p w14:paraId="1F6AE426" w14:textId="77777777" w:rsidR="0049650C" w:rsidRDefault="00D652BF">
      <w:pPr>
        <w:rPr>
          <w:b/>
          <w:sz w:val="40"/>
          <w:szCs w:val="40"/>
        </w:rPr>
      </w:pPr>
      <w:bookmarkStart w:id="1" w:name="_g5wva8xciwbh" w:colFirst="0" w:colLast="0"/>
      <w:bookmarkEnd w:id="1"/>
      <w:r>
        <w:t>Look at the ESP ‘facts’ below and decide whether each ‘fact’ is true or a myth, and explain why.</w:t>
      </w:r>
    </w:p>
    <w:tbl>
      <w:tblPr>
        <w:tblStyle w:val="a"/>
        <w:tblW w:w="13920"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435"/>
        <w:gridCol w:w="3600"/>
        <w:gridCol w:w="3495"/>
        <w:gridCol w:w="3390"/>
      </w:tblGrid>
      <w:tr w:rsidR="0049650C" w14:paraId="5AAEE4F5" w14:textId="77777777">
        <w:tc>
          <w:tcPr>
            <w:tcW w:w="3435" w:type="dxa"/>
          </w:tcPr>
          <w:p w14:paraId="62BF59B9" w14:textId="77777777" w:rsidR="0049650C" w:rsidRDefault="00D652BF">
            <w:pPr>
              <w:spacing w:before="200" w:after="80" w:line="259" w:lineRule="auto"/>
              <w:jc w:val="center"/>
              <w:rPr>
                <w:b/>
                <w:color w:val="1F1F1F"/>
                <w:sz w:val="20"/>
                <w:szCs w:val="20"/>
                <w:highlight w:val="white"/>
              </w:rPr>
            </w:pPr>
            <w:r>
              <w:rPr>
                <w:b/>
                <w:color w:val="1F1F1F"/>
                <w:sz w:val="20"/>
                <w:szCs w:val="20"/>
                <w:highlight w:val="white"/>
              </w:rPr>
              <w:t>The ESP is just like a traditional written exam.</w:t>
            </w:r>
          </w:p>
          <w:p w14:paraId="61E1F8D4" w14:textId="77777777" w:rsidR="0049650C" w:rsidRDefault="00D652BF">
            <w:pPr>
              <w:spacing w:before="200" w:after="80" w:line="259" w:lineRule="auto"/>
              <w:jc w:val="center"/>
              <w:rPr>
                <w:b/>
                <w:color w:val="1F1F1F"/>
                <w:sz w:val="20"/>
                <w:szCs w:val="20"/>
                <w:highlight w:val="white"/>
              </w:rPr>
            </w:pPr>
            <w:r>
              <w:rPr>
                <w:b/>
                <w:color w:val="1F1F1F"/>
                <w:sz w:val="20"/>
                <w:szCs w:val="20"/>
                <w:highlight w:val="white"/>
              </w:rPr>
              <w:t>MYTH</w:t>
            </w:r>
          </w:p>
          <w:p w14:paraId="3513C910" w14:textId="77777777" w:rsidR="0049650C" w:rsidRDefault="00D652BF">
            <w:pPr>
              <w:spacing w:before="200" w:after="80" w:line="259" w:lineRule="auto"/>
              <w:rPr>
                <w:color w:val="1F1F1F"/>
                <w:sz w:val="20"/>
                <w:szCs w:val="20"/>
                <w:highlight w:val="white"/>
              </w:rPr>
            </w:pPr>
            <w:r>
              <w:rPr>
                <w:color w:val="1F1F1F"/>
                <w:sz w:val="20"/>
                <w:szCs w:val="20"/>
                <w:highlight w:val="white"/>
              </w:rPr>
              <w:t>The ESP is a practical, project-based assessment where you apply skills to develop solutions, not just recall information for a written test. It involves tasks like planning, developing and evaluating, much like a real-world project.</w:t>
            </w:r>
          </w:p>
        </w:tc>
        <w:tc>
          <w:tcPr>
            <w:tcW w:w="3600" w:type="dxa"/>
          </w:tcPr>
          <w:p w14:paraId="531541CE" w14:textId="77777777" w:rsidR="0049650C" w:rsidRDefault="00D652BF">
            <w:pPr>
              <w:spacing w:before="200" w:after="80" w:line="259" w:lineRule="auto"/>
              <w:jc w:val="center"/>
              <w:rPr>
                <w:b/>
                <w:color w:val="1F1F1F"/>
                <w:sz w:val="20"/>
                <w:szCs w:val="20"/>
                <w:highlight w:val="white"/>
              </w:rPr>
            </w:pPr>
            <w:r>
              <w:rPr>
                <w:b/>
                <w:color w:val="1F1F1F"/>
                <w:sz w:val="20"/>
                <w:szCs w:val="20"/>
                <w:highlight w:val="white"/>
              </w:rPr>
              <w:t>The ‘pre-task’ for the ESP doesn't really matter because it's not graded.</w:t>
            </w:r>
          </w:p>
          <w:p w14:paraId="718A5140" w14:textId="77777777" w:rsidR="0049650C" w:rsidRDefault="00D652BF">
            <w:pPr>
              <w:spacing w:before="200" w:after="80" w:line="259" w:lineRule="auto"/>
              <w:jc w:val="center"/>
              <w:rPr>
                <w:b/>
                <w:color w:val="1F1F1F"/>
                <w:sz w:val="20"/>
                <w:szCs w:val="20"/>
                <w:highlight w:val="white"/>
              </w:rPr>
            </w:pPr>
            <w:r>
              <w:rPr>
                <w:b/>
                <w:color w:val="1F1F1F"/>
                <w:sz w:val="20"/>
                <w:szCs w:val="20"/>
                <w:highlight w:val="white"/>
              </w:rPr>
              <w:t>MYTH</w:t>
            </w:r>
          </w:p>
          <w:p w14:paraId="625C0726" w14:textId="77777777" w:rsidR="0049650C" w:rsidRDefault="00D652BF">
            <w:pPr>
              <w:spacing w:before="200" w:after="80" w:line="259" w:lineRule="auto"/>
              <w:rPr>
                <w:color w:val="1F1F1F"/>
                <w:sz w:val="20"/>
                <w:szCs w:val="20"/>
                <w:highlight w:val="white"/>
              </w:rPr>
            </w:pPr>
            <w:r>
              <w:rPr>
                <w:color w:val="1F1F1F"/>
                <w:sz w:val="20"/>
                <w:szCs w:val="20"/>
                <w:highlight w:val="white"/>
              </w:rPr>
              <w:t>The pre-task is crucial for familiarisation and research, allowing you to understand the brief and prepare. While not formally graded, effective engagement in the pre-task will significantly impact your performance in the timed, graded tasks that follow.</w:t>
            </w:r>
          </w:p>
        </w:tc>
        <w:tc>
          <w:tcPr>
            <w:tcW w:w="3495" w:type="dxa"/>
          </w:tcPr>
          <w:p w14:paraId="7F8B233A" w14:textId="77777777" w:rsidR="0049650C" w:rsidRDefault="00D652BF">
            <w:pPr>
              <w:spacing w:before="200" w:after="80" w:line="259" w:lineRule="auto"/>
              <w:jc w:val="center"/>
              <w:rPr>
                <w:b/>
                <w:color w:val="1F1F1F"/>
                <w:sz w:val="20"/>
                <w:szCs w:val="20"/>
                <w:highlight w:val="white"/>
              </w:rPr>
            </w:pPr>
            <w:r>
              <w:rPr>
                <w:b/>
                <w:color w:val="1F1F1F"/>
                <w:sz w:val="20"/>
                <w:szCs w:val="20"/>
                <w:highlight w:val="white"/>
              </w:rPr>
              <w:t>The ESP only assesses your coding ability.</w:t>
            </w:r>
          </w:p>
          <w:p w14:paraId="17D373E4" w14:textId="77777777" w:rsidR="0049650C" w:rsidRDefault="00D652BF">
            <w:pPr>
              <w:spacing w:before="200" w:after="80" w:line="259" w:lineRule="auto"/>
              <w:jc w:val="center"/>
              <w:rPr>
                <w:b/>
                <w:color w:val="1F1F1F"/>
                <w:sz w:val="20"/>
                <w:szCs w:val="20"/>
                <w:highlight w:val="white"/>
              </w:rPr>
            </w:pPr>
            <w:r>
              <w:rPr>
                <w:b/>
                <w:color w:val="1F1F1F"/>
                <w:sz w:val="20"/>
                <w:szCs w:val="20"/>
                <w:highlight w:val="white"/>
              </w:rPr>
              <w:t>MYTH</w:t>
            </w:r>
          </w:p>
          <w:p w14:paraId="2611A335" w14:textId="77777777" w:rsidR="0049650C" w:rsidRDefault="00D652BF">
            <w:pPr>
              <w:spacing w:before="200" w:after="80" w:line="259" w:lineRule="auto"/>
              <w:rPr>
                <w:color w:val="1F1F1F"/>
                <w:sz w:val="20"/>
                <w:szCs w:val="20"/>
                <w:highlight w:val="white"/>
              </w:rPr>
            </w:pPr>
            <w:r>
              <w:rPr>
                <w:color w:val="1F1F1F"/>
                <w:sz w:val="20"/>
                <w:szCs w:val="20"/>
                <w:highlight w:val="white"/>
              </w:rPr>
              <w:t>While coding is part of the ESP, it also assesses a wide range of other essential skills. These include planning an approach to problems, selecting relevant tools and techniques, and critically evaluating your project outcome.</w:t>
            </w:r>
          </w:p>
        </w:tc>
        <w:tc>
          <w:tcPr>
            <w:tcW w:w="3390" w:type="dxa"/>
          </w:tcPr>
          <w:p w14:paraId="0DAEF6A2" w14:textId="77777777" w:rsidR="0049650C" w:rsidRDefault="00D652BF">
            <w:pPr>
              <w:spacing w:before="200" w:after="80" w:line="259" w:lineRule="auto"/>
              <w:jc w:val="center"/>
              <w:rPr>
                <w:b/>
                <w:color w:val="1F1F1F"/>
                <w:sz w:val="20"/>
                <w:szCs w:val="20"/>
                <w:highlight w:val="white"/>
              </w:rPr>
            </w:pPr>
            <w:r>
              <w:rPr>
                <w:b/>
                <w:color w:val="1F1F1F"/>
                <w:sz w:val="20"/>
                <w:szCs w:val="20"/>
                <w:highlight w:val="white"/>
              </w:rPr>
              <w:t>If I'm good at the technical parts, I don't need to worry much about the planning or review sections of the ESP.</w:t>
            </w:r>
          </w:p>
          <w:p w14:paraId="0C38582E" w14:textId="77777777" w:rsidR="0049650C" w:rsidRDefault="00D652BF">
            <w:pPr>
              <w:spacing w:before="200" w:after="80" w:line="259" w:lineRule="auto"/>
              <w:jc w:val="center"/>
              <w:rPr>
                <w:b/>
                <w:color w:val="1F1F1F"/>
                <w:sz w:val="20"/>
                <w:szCs w:val="20"/>
                <w:highlight w:val="white"/>
              </w:rPr>
            </w:pPr>
            <w:r>
              <w:rPr>
                <w:b/>
                <w:color w:val="1F1F1F"/>
                <w:sz w:val="20"/>
                <w:szCs w:val="20"/>
                <w:highlight w:val="white"/>
              </w:rPr>
              <w:t>MYTH</w:t>
            </w:r>
          </w:p>
          <w:p w14:paraId="689BA072" w14:textId="77777777" w:rsidR="0049650C" w:rsidRDefault="00D652BF">
            <w:pPr>
              <w:spacing w:before="200" w:after="80" w:line="259" w:lineRule="auto"/>
              <w:rPr>
                <w:color w:val="1F1F1F"/>
                <w:sz w:val="20"/>
                <w:szCs w:val="20"/>
                <w:highlight w:val="white"/>
              </w:rPr>
            </w:pPr>
            <w:r>
              <w:rPr>
                <w:color w:val="1F1F1F"/>
                <w:sz w:val="20"/>
                <w:szCs w:val="20"/>
                <w:highlight w:val="white"/>
              </w:rPr>
              <w:t>Planning and reflective evaluation are fundamental components of the ESP and are weighted significantly. In industry, strong planning prevents issues, and reflective evaluation drives continuous improvement, making these skills just as important as technical execution.</w:t>
            </w:r>
          </w:p>
          <w:p w14:paraId="3567170C" w14:textId="3E05BD5E" w:rsidR="0049650C" w:rsidRDefault="0049650C">
            <w:pPr>
              <w:spacing w:before="200" w:after="80" w:line="259" w:lineRule="auto"/>
              <w:rPr>
                <w:color w:val="1F1F1F"/>
                <w:sz w:val="20"/>
                <w:szCs w:val="20"/>
                <w:highlight w:val="white"/>
              </w:rPr>
            </w:pPr>
          </w:p>
          <w:p w14:paraId="4EEBF4D6" w14:textId="77777777" w:rsidR="0049650C" w:rsidRDefault="0049650C">
            <w:pPr>
              <w:spacing w:before="200" w:after="80" w:line="259" w:lineRule="auto"/>
              <w:rPr>
                <w:color w:val="1F1F1F"/>
                <w:sz w:val="20"/>
                <w:szCs w:val="20"/>
                <w:highlight w:val="white"/>
              </w:rPr>
            </w:pPr>
          </w:p>
          <w:p w14:paraId="4D1C888A" w14:textId="77777777" w:rsidR="0049650C" w:rsidRDefault="0049650C">
            <w:pPr>
              <w:spacing w:before="200" w:after="80" w:line="259" w:lineRule="auto"/>
              <w:rPr>
                <w:color w:val="1F1F1F"/>
                <w:sz w:val="20"/>
                <w:szCs w:val="20"/>
                <w:highlight w:val="white"/>
              </w:rPr>
            </w:pPr>
          </w:p>
        </w:tc>
      </w:tr>
      <w:tr w:rsidR="0049650C" w14:paraId="231A7CC9" w14:textId="77777777">
        <w:tc>
          <w:tcPr>
            <w:tcW w:w="3435" w:type="dxa"/>
          </w:tcPr>
          <w:p w14:paraId="02926825" w14:textId="77777777" w:rsidR="0049650C" w:rsidRDefault="00D652BF">
            <w:pPr>
              <w:spacing w:before="200" w:after="80" w:line="259" w:lineRule="auto"/>
              <w:jc w:val="center"/>
              <w:rPr>
                <w:b/>
                <w:color w:val="1F1F1F"/>
                <w:sz w:val="20"/>
                <w:szCs w:val="20"/>
                <w:highlight w:val="white"/>
              </w:rPr>
            </w:pPr>
            <w:r>
              <w:rPr>
                <w:b/>
                <w:color w:val="1F1F1F"/>
                <w:sz w:val="20"/>
                <w:szCs w:val="20"/>
                <w:highlight w:val="white"/>
              </w:rPr>
              <w:lastRenderedPageBreak/>
              <w:t>The skills I learn in the ESP are directly relevant to real-world jobs in the digital industry.</w:t>
            </w:r>
          </w:p>
          <w:p w14:paraId="45B1FE73" w14:textId="77777777" w:rsidR="0049650C" w:rsidRDefault="00D652BF">
            <w:pPr>
              <w:spacing w:before="200" w:after="80" w:line="259" w:lineRule="auto"/>
              <w:jc w:val="center"/>
              <w:rPr>
                <w:b/>
                <w:color w:val="1F1F1F"/>
                <w:sz w:val="20"/>
                <w:szCs w:val="20"/>
                <w:highlight w:val="white"/>
              </w:rPr>
            </w:pPr>
            <w:r>
              <w:rPr>
                <w:b/>
                <w:color w:val="1F1F1F"/>
                <w:sz w:val="20"/>
                <w:szCs w:val="20"/>
                <w:highlight w:val="white"/>
              </w:rPr>
              <w:t>FACT</w:t>
            </w:r>
          </w:p>
          <w:p w14:paraId="587B65A8" w14:textId="77777777" w:rsidR="0049650C" w:rsidRDefault="00D652BF">
            <w:pPr>
              <w:spacing w:before="200" w:after="80" w:line="259" w:lineRule="auto"/>
              <w:rPr>
                <w:b/>
                <w:color w:val="1F1F1F"/>
                <w:sz w:val="20"/>
                <w:szCs w:val="20"/>
                <w:highlight w:val="white"/>
              </w:rPr>
            </w:pPr>
            <w:r>
              <w:rPr>
                <w:color w:val="1F1F1F"/>
                <w:sz w:val="20"/>
                <w:szCs w:val="20"/>
                <w:highlight w:val="white"/>
              </w:rPr>
              <w:t>The ESP tasks, such as planning projects, fixing defects and reflective evaluation, are essential competencies that digital professionals use daily. It prepares you for industry placements and a successful career by mirroring real-world practices.</w:t>
            </w:r>
          </w:p>
        </w:tc>
        <w:tc>
          <w:tcPr>
            <w:tcW w:w="3600" w:type="dxa"/>
          </w:tcPr>
          <w:p w14:paraId="10F7D3BF" w14:textId="77777777" w:rsidR="0049650C" w:rsidRDefault="00D652BF">
            <w:pPr>
              <w:spacing w:before="200" w:after="80" w:line="259" w:lineRule="auto"/>
              <w:jc w:val="center"/>
              <w:rPr>
                <w:b/>
                <w:color w:val="1F1F1F"/>
                <w:sz w:val="20"/>
                <w:szCs w:val="20"/>
                <w:highlight w:val="white"/>
              </w:rPr>
            </w:pPr>
            <w:r>
              <w:rPr>
                <w:b/>
                <w:color w:val="1F1F1F"/>
                <w:sz w:val="20"/>
                <w:szCs w:val="20"/>
                <w:highlight w:val="white"/>
              </w:rPr>
              <w:t>The ESP only counts for a small part of my overall T Level assessment.</w:t>
            </w:r>
          </w:p>
          <w:p w14:paraId="0E830794" w14:textId="77777777" w:rsidR="0049650C" w:rsidRDefault="00D652BF">
            <w:pPr>
              <w:spacing w:before="200" w:after="80" w:line="259" w:lineRule="auto"/>
              <w:jc w:val="center"/>
              <w:rPr>
                <w:b/>
                <w:color w:val="1F1F1F"/>
                <w:sz w:val="20"/>
                <w:szCs w:val="20"/>
                <w:highlight w:val="white"/>
              </w:rPr>
            </w:pPr>
            <w:r>
              <w:rPr>
                <w:b/>
                <w:color w:val="1F1F1F"/>
                <w:sz w:val="20"/>
                <w:szCs w:val="20"/>
                <w:highlight w:val="white"/>
              </w:rPr>
              <w:t>MYTH</w:t>
            </w:r>
          </w:p>
          <w:p w14:paraId="53C66D4A" w14:textId="77777777" w:rsidR="0049650C" w:rsidRDefault="00D652BF">
            <w:pPr>
              <w:spacing w:before="200" w:after="80" w:line="259" w:lineRule="auto"/>
              <w:rPr>
                <w:color w:val="1F1F1F"/>
                <w:sz w:val="20"/>
                <w:szCs w:val="20"/>
                <w:highlight w:val="white"/>
              </w:rPr>
            </w:pPr>
            <w:r>
              <w:rPr>
                <w:color w:val="1F1F1F"/>
                <w:sz w:val="20"/>
                <w:szCs w:val="20"/>
                <w:highlight w:val="white"/>
              </w:rPr>
              <w:t>The ESP counts towards 40% of your core assessment, making it a very significant component of your overall T Level qualification.</w:t>
            </w:r>
          </w:p>
        </w:tc>
        <w:tc>
          <w:tcPr>
            <w:tcW w:w="3495" w:type="dxa"/>
          </w:tcPr>
          <w:p w14:paraId="7E5B9662" w14:textId="77777777" w:rsidR="0049650C" w:rsidRDefault="00D652BF">
            <w:pPr>
              <w:spacing w:before="200" w:after="80" w:line="259" w:lineRule="auto"/>
              <w:jc w:val="center"/>
              <w:rPr>
                <w:b/>
                <w:color w:val="1F1F1F"/>
                <w:sz w:val="20"/>
                <w:szCs w:val="20"/>
                <w:highlight w:val="white"/>
              </w:rPr>
            </w:pPr>
            <w:r>
              <w:rPr>
                <w:b/>
                <w:color w:val="1F1F1F"/>
                <w:sz w:val="20"/>
                <w:szCs w:val="20"/>
                <w:highlight w:val="white"/>
              </w:rPr>
              <w:t xml:space="preserve"> Once I finish a task in the ESP, I don't need to think about it again.</w:t>
            </w:r>
          </w:p>
          <w:p w14:paraId="1AA51A07" w14:textId="77777777" w:rsidR="0049650C" w:rsidRDefault="00D652BF">
            <w:pPr>
              <w:spacing w:before="200" w:after="80" w:line="259" w:lineRule="auto"/>
              <w:jc w:val="center"/>
              <w:rPr>
                <w:b/>
                <w:color w:val="1F1F1F"/>
                <w:sz w:val="20"/>
                <w:szCs w:val="20"/>
                <w:highlight w:val="white"/>
              </w:rPr>
            </w:pPr>
            <w:r>
              <w:rPr>
                <w:b/>
                <w:color w:val="1F1F1F"/>
                <w:sz w:val="20"/>
                <w:szCs w:val="20"/>
                <w:highlight w:val="white"/>
              </w:rPr>
              <w:t>MYTH</w:t>
            </w:r>
          </w:p>
          <w:p w14:paraId="4AE42BB9" w14:textId="77777777" w:rsidR="0049650C" w:rsidRDefault="00D652BF">
            <w:pPr>
              <w:spacing w:before="200" w:after="80" w:line="259" w:lineRule="auto"/>
              <w:rPr>
                <w:b/>
                <w:color w:val="1F1F1F"/>
                <w:sz w:val="20"/>
                <w:szCs w:val="20"/>
                <w:highlight w:val="white"/>
              </w:rPr>
            </w:pPr>
            <w:r>
              <w:rPr>
                <w:color w:val="1F1F1F"/>
                <w:sz w:val="20"/>
                <w:szCs w:val="20"/>
                <w:highlight w:val="white"/>
              </w:rPr>
              <w:t>The ESP emphasises reflective evaluation (AO5b). This means you are expected to review how well your solutions meet the brief and reflect on your process. This reflective practice is crucial for continuous improvement, a key aspect of professional digital work.</w:t>
            </w:r>
          </w:p>
        </w:tc>
        <w:tc>
          <w:tcPr>
            <w:tcW w:w="3390" w:type="dxa"/>
          </w:tcPr>
          <w:p w14:paraId="2E6E465A" w14:textId="77777777" w:rsidR="0049650C" w:rsidRDefault="00D652BF">
            <w:pPr>
              <w:spacing w:before="200" w:after="80" w:line="259" w:lineRule="auto"/>
              <w:jc w:val="center"/>
              <w:rPr>
                <w:b/>
                <w:color w:val="1F1F1F"/>
                <w:sz w:val="20"/>
                <w:szCs w:val="20"/>
                <w:highlight w:val="white"/>
              </w:rPr>
            </w:pPr>
            <w:r>
              <w:rPr>
                <w:b/>
                <w:color w:val="1F1F1F"/>
                <w:sz w:val="20"/>
                <w:szCs w:val="20"/>
                <w:highlight w:val="white"/>
              </w:rPr>
              <w:t>The ESP is a solo project, and I won't need to work with others.</w:t>
            </w:r>
          </w:p>
          <w:p w14:paraId="578DC4FC" w14:textId="77777777" w:rsidR="0049650C" w:rsidRDefault="00D652BF">
            <w:pPr>
              <w:spacing w:before="200" w:after="80" w:line="259" w:lineRule="auto"/>
              <w:jc w:val="center"/>
              <w:rPr>
                <w:b/>
                <w:color w:val="1F1F1F"/>
                <w:sz w:val="20"/>
                <w:szCs w:val="20"/>
                <w:highlight w:val="white"/>
              </w:rPr>
            </w:pPr>
            <w:r>
              <w:rPr>
                <w:b/>
                <w:color w:val="1F1F1F"/>
                <w:sz w:val="20"/>
                <w:szCs w:val="20"/>
                <w:highlight w:val="white"/>
              </w:rPr>
              <w:t>MYTH</w:t>
            </w:r>
          </w:p>
          <w:p w14:paraId="74CACCAA" w14:textId="77777777" w:rsidR="0049650C" w:rsidRDefault="00D652BF">
            <w:pPr>
              <w:spacing w:before="200" w:after="80" w:line="259" w:lineRule="auto"/>
              <w:rPr>
                <w:color w:val="1F1F1F"/>
                <w:sz w:val="20"/>
                <w:szCs w:val="20"/>
                <w:highlight w:val="white"/>
              </w:rPr>
            </w:pPr>
            <w:r>
              <w:rPr>
                <w:color w:val="1F1F1F"/>
                <w:sz w:val="20"/>
                <w:szCs w:val="20"/>
                <w:highlight w:val="white"/>
              </w:rPr>
              <w:t>While your individual work is assessed, the digital industry often involves collaboration. The ESP may include elements where understanding how your work fits into a larger project or communicating with different stakeholders (even simulated ones) is important. Developing your ability to work effectively in a team environment is a valuable skill that the ESP helps build.</w:t>
            </w:r>
          </w:p>
        </w:tc>
      </w:tr>
    </w:tbl>
    <w:p w14:paraId="4A31FB91" w14:textId="77777777" w:rsidR="0049650C" w:rsidRDefault="0049650C">
      <w:pPr>
        <w:tabs>
          <w:tab w:val="left" w:pos="2429"/>
        </w:tabs>
        <w:rPr>
          <w:color w:val="534C29"/>
        </w:rPr>
      </w:pPr>
    </w:p>
    <w:sectPr w:rsidR="0049650C">
      <w:headerReference w:type="even" r:id="rId6"/>
      <w:headerReference w:type="default" r:id="rId7"/>
      <w:footerReference w:type="even" r:id="rId8"/>
      <w:footerReference w:type="default" r:id="rId9"/>
      <w:headerReference w:type="first" r:id="rId10"/>
      <w:footerReference w:type="first" r:id="rId11"/>
      <w:pgSz w:w="16838" w:h="11906" w:orient="landscape"/>
      <w:pgMar w:top="1247" w:right="1440" w:bottom="2127"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8E2163" w14:textId="77777777" w:rsidR="00310382" w:rsidRDefault="00310382">
      <w:pPr>
        <w:spacing w:after="0" w:line="240" w:lineRule="auto"/>
      </w:pPr>
      <w:r>
        <w:separator/>
      </w:r>
    </w:p>
  </w:endnote>
  <w:endnote w:type="continuationSeparator" w:id="0">
    <w:p w14:paraId="028E1F01" w14:textId="77777777" w:rsidR="00310382" w:rsidRDefault="003103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8E60522-45B0-43F6-8718-8D67A0B794F9}"/>
  </w:font>
  <w:font w:name="Cambria">
    <w:panose1 w:val="02040503050406030204"/>
    <w:charset w:val="00"/>
    <w:family w:val="roman"/>
    <w:pitch w:val="variable"/>
    <w:sig w:usb0="E00006FF" w:usb1="420024FF" w:usb2="02000000" w:usb3="00000000" w:csb0="0000019F" w:csb1="00000000"/>
    <w:embedRegular r:id="rId2" w:fontKey="{D5D6B5C9-6E92-4AFD-ABEC-34C1ED4B46D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7AD67" w14:textId="77777777" w:rsidR="0049650C" w:rsidRDefault="0049650C">
    <w:pPr>
      <w:widowControl w:val="0"/>
      <w:pBdr>
        <w:top w:val="nil"/>
        <w:left w:val="nil"/>
        <w:bottom w:val="nil"/>
        <w:right w:val="nil"/>
        <w:between w:val="nil"/>
      </w:pBdr>
      <w:spacing w:after="0" w:line="276" w:lineRule="auto"/>
      <w:rPr>
        <w:sz w:val="20"/>
        <w:szCs w:val="20"/>
      </w:rPr>
    </w:pPr>
  </w:p>
  <w:tbl>
    <w:tblPr>
      <w:tblStyle w:val="a2"/>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6508"/>
      <w:gridCol w:w="2518"/>
    </w:tblGrid>
    <w:tr w:rsidR="0049650C" w14:paraId="5986C89A" w14:textId="77777777">
      <w:tc>
        <w:tcPr>
          <w:tcW w:w="6508" w:type="dxa"/>
        </w:tcPr>
        <w:p w14:paraId="751427CC" w14:textId="77777777" w:rsidR="0049650C" w:rsidRDefault="00D652BF">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2518" w:type="dxa"/>
        </w:tcPr>
        <w:p w14:paraId="2147C615" w14:textId="77777777" w:rsidR="0049650C" w:rsidRDefault="00D652BF">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22CAA5E5" w14:textId="77777777" w:rsidR="0049650C" w:rsidRDefault="0049650C">
    <w:pPr>
      <w:pBdr>
        <w:top w:val="nil"/>
        <w:left w:val="nil"/>
        <w:bottom w:val="nil"/>
        <w:right w:val="nil"/>
        <w:between w:val="nil"/>
      </w:pBdr>
      <w:tabs>
        <w:tab w:val="center" w:pos="4513"/>
        <w:tab w:val="right" w:pos="9026"/>
      </w:tabs>
      <w:spacing w:after="0" w:line="240" w:lineRule="auto"/>
      <w:jc w:val="right"/>
      <w:rPr>
        <w:sz w:val="20"/>
        <w:szCs w:val="20"/>
      </w:rPr>
    </w:pPr>
  </w:p>
  <w:p w14:paraId="534B15E3" w14:textId="77777777" w:rsidR="0049650C" w:rsidRDefault="00D652BF">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E98C1E" w14:textId="77777777" w:rsidR="0049650C" w:rsidRDefault="0049650C">
    <w:pPr>
      <w:widowControl w:val="0"/>
      <w:pBdr>
        <w:top w:val="nil"/>
        <w:left w:val="nil"/>
        <w:bottom w:val="nil"/>
        <w:right w:val="nil"/>
        <w:between w:val="nil"/>
      </w:pBdr>
      <w:spacing w:after="0" w:line="276" w:lineRule="auto"/>
    </w:pPr>
  </w:p>
  <w:tbl>
    <w:tblPr>
      <w:tblStyle w:val="a3"/>
      <w:tblW w:w="14034"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8789"/>
    </w:tblGrid>
    <w:tr w:rsidR="0049650C" w14:paraId="7E68840C" w14:textId="77777777">
      <w:tc>
        <w:tcPr>
          <w:tcW w:w="14034" w:type="dxa"/>
          <w:gridSpan w:val="2"/>
          <w:tcBorders>
            <w:bottom w:val="nil"/>
          </w:tcBorders>
        </w:tcPr>
        <w:p w14:paraId="10B15723" w14:textId="77777777" w:rsidR="0049650C" w:rsidRDefault="00D652BF">
          <w:pPr>
            <w:pBdr>
              <w:top w:val="nil"/>
              <w:left w:val="nil"/>
              <w:bottom w:val="nil"/>
              <w:right w:val="nil"/>
              <w:between w:val="nil"/>
            </w:pBdr>
            <w:tabs>
              <w:tab w:val="center" w:pos="4513"/>
              <w:tab w:val="right" w:pos="9026"/>
            </w:tabs>
            <w:spacing w:after="120"/>
            <w:rPr>
              <w:sz w:val="18"/>
              <w:szCs w:val="18"/>
            </w:rPr>
          </w:pPr>
          <w:r>
            <w:rPr>
              <w:sz w:val="20"/>
              <w:szCs w:val="20"/>
            </w:rPr>
            <w:t>Digital: Employer Set Project</w:t>
          </w:r>
        </w:p>
      </w:tc>
    </w:tr>
    <w:tr w:rsidR="0049650C" w14:paraId="158B0CD3" w14:textId="77777777">
      <w:tc>
        <w:tcPr>
          <w:tcW w:w="5245" w:type="dxa"/>
          <w:tcBorders>
            <w:top w:val="nil"/>
            <w:bottom w:val="single" w:sz="12" w:space="0" w:color="FFF5C4"/>
          </w:tcBorders>
        </w:tcPr>
        <w:p w14:paraId="0A9EB241" w14:textId="6745EC3B" w:rsidR="0049650C" w:rsidRDefault="00D652BF">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70720A">
            <w:rPr>
              <w:color w:val="auto"/>
              <w:sz w:val="20"/>
              <w:szCs w:val="20"/>
            </w:rPr>
            <w:t>January 2026</w:t>
          </w:r>
        </w:p>
      </w:tc>
      <w:tc>
        <w:tcPr>
          <w:tcW w:w="8789" w:type="dxa"/>
          <w:tcBorders>
            <w:top w:val="nil"/>
            <w:bottom w:val="single" w:sz="12" w:space="0" w:color="FFF5C4"/>
          </w:tcBorders>
          <w:vAlign w:val="bottom"/>
        </w:tcPr>
        <w:p w14:paraId="05291EB1" w14:textId="68D03DC4" w:rsidR="0049650C" w:rsidRDefault="00D652BF">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70720A">
            <w:rPr>
              <w:sz w:val="18"/>
              <w:szCs w:val="18"/>
            </w:rPr>
            <w:t>6</w:t>
          </w:r>
        </w:p>
      </w:tc>
    </w:tr>
  </w:tbl>
  <w:p w14:paraId="1277A7B0" w14:textId="77777777" w:rsidR="0049650C" w:rsidRDefault="0049650C">
    <w:pPr>
      <w:pBdr>
        <w:top w:val="nil"/>
        <w:left w:val="nil"/>
        <w:bottom w:val="nil"/>
        <w:right w:val="nil"/>
        <w:between w:val="nil"/>
      </w:pBdr>
      <w:tabs>
        <w:tab w:val="center" w:pos="4513"/>
        <w:tab w:val="right" w:pos="9026"/>
      </w:tabs>
      <w:spacing w:after="0" w:line="240" w:lineRule="auto"/>
      <w:jc w:val="right"/>
      <w:rPr>
        <w:sz w:val="20"/>
        <w:szCs w:val="20"/>
      </w:rPr>
    </w:pPr>
  </w:p>
  <w:p w14:paraId="1368C4C9" w14:textId="77777777" w:rsidR="0049650C" w:rsidRDefault="00D652BF">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FD5ADC">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1BEB9A" w14:textId="77777777" w:rsidR="0049650C" w:rsidRDefault="0049650C">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E04959" w14:textId="77777777" w:rsidR="00310382" w:rsidRDefault="00310382">
      <w:pPr>
        <w:spacing w:after="0" w:line="240" w:lineRule="auto"/>
      </w:pPr>
      <w:r>
        <w:separator/>
      </w:r>
    </w:p>
  </w:footnote>
  <w:footnote w:type="continuationSeparator" w:id="0">
    <w:p w14:paraId="1C989776" w14:textId="77777777" w:rsidR="00310382" w:rsidRDefault="003103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94AD3C" w14:textId="77777777" w:rsidR="0049650C" w:rsidRDefault="0049650C">
    <w:pPr>
      <w:widowControl w:val="0"/>
      <w:pBdr>
        <w:top w:val="nil"/>
        <w:left w:val="nil"/>
        <w:bottom w:val="nil"/>
        <w:right w:val="nil"/>
        <w:between w:val="nil"/>
      </w:pBdr>
      <w:spacing w:after="0" w:line="276" w:lineRule="auto"/>
    </w:pPr>
  </w:p>
  <w:tbl>
    <w:tblPr>
      <w:tblStyle w:val="a0"/>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376"/>
      <w:gridCol w:w="7650"/>
    </w:tblGrid>
    <w:tr w:rsidR="0049650C" w14:paraId="4CAF7348" w14:textId="77777777">
      <w:tc>
        <w:tcPr>
          <w:tcW w:w="1376" w:type="dxa"/>
        </w:tcPr>
        <w:p w14:paraId="74C69D9A" w14:textId="77777777" w:rsidR="0049650C" w:rsidRDefault="00D652BF">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5F7EEC90" wp14:editId="234641FB">
                <wp:simplePos x="0" y="0"/>
                <wp:positionH relativeFrom="column">
                  <wp:posOffset>-6819</wp:posOffset>
                </wp:positionH>
                <wp:positionV relativeFrom="paragraph">
                  <wp:posOffset>-133297</wp:posOffset>
                </wp:positionV>
                <wp:extent cx="1137557" cy="47754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650" w:type="dxa"/>
        </w:tcPr>
        <w:p w14:paraId="02990FBD" w14:textId="77777777" w:rsidR="0049650C" w:rsidRDefault="00D652BF">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44FD83A0" w14:textId="77777777" w:rsidR="0049650C" w:rsidRDefault="00D652BF">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01E6800E" w14:textId="77777777" w:rsidR="0049650C" w:rsidRDefault="0049650C">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480D5E" w14:textId="77777777" w:rsidR="0049650C" w:rsidRDefault="0049650C">
    <w:pPr>
      <w:widowControl w:val="0"/>
      <w:pBdr>
        <w:top w:val="nil"/>
        <w:left w:val="nil"/>
        <w:bottom w:val="nil"/>
        <w:right w:val="nil"/>
        <w:between w:val="nil"/>
      </w:pBdr>
      <w:spacing w:after="0" w:line="276" w:lineRule="auto"/>
    </w:pPr>
  </w:p>
  <w:tbl>
    <w:tblPr>
      <w:tblStyle w:val="a1"/>
      <w:tblW w:w="13920"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11790"/>
    </w:tblGrid>
    <w:tr w:rsidR="0049650C" w14:paraId="6E26CBEE" w14:textId="77777777">
      <w:tc>
        <w:tcPr>
          <w:tcW w:w="2130" w:type="dxa"/>
        </w:tcPr>
        <w:p w14:paraId="2635AA8F" w14:textId="77777777" w:rsidR="0049650C" w:rsidRDefault="0049650C">
          <w:pPr>
            <w:pBdr>
              <w:top w:val="nil"/>
              <w:left w:val="nil"/>
              <w:bottom w:val="nil"/>
              <w:right w:val="nil"/>
              <w:between w:val="nil"/>
            </w:pBdr>
            <w:tabs>
              <w:tab w:val="center" w:pos="4513"/>
              <w:tab w:val="right" w:pos="9026"/>
            </w:tabs>
            <w:spacing w:after="120"/>
            <w:rPr>
              <w:sz w:val="20"/>
              <w:szCs w:val="20"/>
            </w:rPr>
          </w:pPr>
          <w:bookmarkStart w:id="2" w:name="_xbhgrlgrpyvn" w:colFirst="0" w:colLast="0"/>
          <w:bookmarkEnd w:id="2"/>
        </w:p>
      </w:tc>
      <w:tc>
        <w:tcPr>
          <w:tcW w:w="11790" w:type="dxa"/>
        </w:tcPr>
        <w:p w14:paraId="73DCF2DB" w14:textId="77777777" w:rsidR="0049650C" w:rsidRDefault="00D652BF">
          <w:pPr>
            <w:pBdr>
              <w:top w:val="nil"/>
              <w:left w:val="nil"/>
              <w:bottom w:val="nil"/>
              <w:right w:val="nil"/>
              <w:between w:val="nil"/>
            </w:pBdr>
            <w:tabs>
              <w:tab w:val="center" w:pos="4513"/>
              <w:tab w:val="right" w:pos="9026"/>
            </w:tabs>
            <w:spacing w:after="120"/>
            <w:jc w:val="right"/>
            <w:rPr>
              <w:sz w:val="20"/>
              <w:szCs w:val="20"/>
            </w:rPr>
          </w:pPr>
          <w:r>
            <w:rPr>
              <w:sz w:val="20"/>
              <w:szCs w:val="20"/>
            </w:rPr>
            <w:t>Resource 1: An introduction to the Employer Set Project</w:t>
          </w:r>
        </w:p>
        <w:p w14:paraId="7E5DC3A0" w14:textId="77777777" w:rsidR="0049650C" w:rsidRDefault="00D652BF">
          <w:pPr>
            <w:pBdr>
              <w:top w:val="nil"/>
              <w:left w:val="nil"/>
              <w:bottom w:val="nil"/>
              <w:right w:val="nil"/>
              <w:between w:val="nil"/>
            </w:pBdr>
            <w:tabs>
              <w:tab w:val="center" w:pos="4513"/>
              <w:tab w:val="right" w:pos="9026"/>
            </w:tabs>
            <w:spacing w:after="120"/>
            <w:jc w:val="right"/>
            <w:rPr>
              <w:sz w:val="20"/>
              <w:szCs w:val="20"/>
            </w:rPr>
          </w:pPr>
          <w:r>
            <w:rPr>
              <w:sz w:val="20"/>
              <w:szCs w:val="20"/>
            </w:rPr>
            <w:t>Activity 2 Worksheet answers</w:t>
          </w:r>
        </w:p>
      </w:tc>
    </w:tr>
  </w:tbl>
  <w:p w14:paraId="616A5E92" w14:textId="77777777" w:rsidR="0049650C" w:rsidRDefault="00D652BF">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595E02B7" wp14:editId="069AF9BB">
          <wp:simplePos x="0" y="0"/>
          <wp:positionH relativeFrom="column">
            <wp:posOffset>5</wp:posOffset>
          </wp:positionH>
          <wp:positionV relativeFrom="paragraph">
            <wp:posOffset>-601339</wp:posOffset>
          </wp:positionV>
          <wp:extent cx="1137557" cy="47754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1D78CF" w14:textId="77777777" w:rsidR="0049650C" w:rsidRDefault="0049650C">
    <w:pPr>
      <w:pBdr>
        <w:top w:val="nil"/>
        <w:left w:val="nil"/>
        <w:bottom w:val="nil"/>
        <w:right w:val="nil"/>
        <w:between w:val="nil"/>
      </w:pBdr>
      <w:tabs>
        <w:tab w:val="center" w:pos="4513"/>
        <w:tab w:val="right" w:pos="9026"/>
      </w:tabs>
      <w:spacing w:after="0" w:line="240" w:lineRule="auto"/>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sDQyNjexsDCxMDAyNTRS0lEKTi0uzszPAykwrAUA9UO5MiwAAAA="/>
  </w:docVars>
  <w:rsids>
    <w:rsidRoot w:val="0049650C"/>
    <w:rsid w:val="00071F86"/>
    <w:rsid w:val="001375B6"/>
    <w:rsid w:val="002B3326"/>
    <w:rsid w:val="00310382"/>
    <w:rsid w:val="0049650C"/>
    <w:rsid w:val="0070720A"/>
    <w:rsid w:val="00741F28"/>
    <w:rsid w:val="00943643"/>
    <w:rsid w:val="00986363"/>
    <w:rsid w:val="00AF6FE3"/>
    <w:rsid w:val="00B60844"/>
    <w:rsid w:val="00B733CF"/>
    <w:rsid w:val="00C7370C"/>
    <w:rsid w:val="00D652BF"/>
    <w:rsid w:val="00FD5ADC"/>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DF0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534C29"/>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534C29"/>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FFF5C4"/>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534C29"/>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411</Words>
  <Characters>2343</Characters>
  <Application>Microsoft Office Word</Application>
  <DocSecurity>0</DocSecurity>
  <Lines>19</Lines>
  <Paragraphs>5</Paragraphs>
  <ScaleCrop>false</ScaleCrop>
  <Company/>
  <LinksUpToDate>false</LinksUpToDate>
  <CharactersWithSpaces>2749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2025-12-22T11:09:00Z</dcterms:created>
  <dcterms:modified xsi:type="dcterms:W3CDTF">2025-12-22T11:10:00Z</dcterms:modified>
</cp:coreProperties>
</file>