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C178" w14:textId="04B4F713" w:rsidR="00E332CC" w:rsidRDefault="00E332CC" w:rsidP="00EF23AC">
      <w:pPr>
        <w:pStyle w:val="Chapter"/>
        <w:spacing w:before="0" w:after="0"/>
      </w:pPr>
      <w:bookmarkStart w:id="0" w:name="_Toc137031731"/>
      <w:bookmarkStart w:id="1" w:name="_Toc137031855"/>
      <w:bookmarkStart w:id="2" w:name="_Hlk138416276"/>
      <w:r>
        <w:t>Additional teacher guidance</w:t>
      </w:r>
    </w:p>
    <w:bookmarkEnd w:id="0"/>
    <w:bookmarkEnd w:id="1"/>
    <w:bookmarkEnd w:id="2"/>
    <w:p w14:paraId="0369A0E1" w14:textId="6C9E85F1" w:rsidR="00472FA7" w:rsidRDefault="00472FA7" w:rsidP="00EF23AC">
      <w:pPr>
        <w:spacing w:before="240"/>
      </w:pPr>
      <w:r w:rsidRPr="00472FA7">
        <w:t>This document gives additional teaching guidance around reluctance to engage with health and safety, dealing with health and safety sensitively, and improving engagement with role play</w:t>
      </w:r>
      <w:r>
        <w:t>.</w:t>
      </w:r>
    </w:p>
    <w:p w14:paraId="469EEF1D" w14:textId="09D2C097" w:rsidR="00472FA7" w:rsidRPr="00D72866" w:rsidRDefault="00E332CC" w:rsidP="00E332CC">
      <w:pPr>
        <w:pStyle w:val="Heading1"/>
      </w:pPr>
      <w:r>
        <w:t>Reluctance to engage with health and safety</w:t>
      </w:r>
    </w:p>
    <w:p w14:paraId="5A480C0B" w14:textId="77777777" w:rsidR="00472FA7" w:rsidRPr="00F258CB" w:rsidRDefault="00472FA7" w:rsidP="00530DE8">
      <w:r>
        <w:t>Health, safety and welfare is commonly cited as a topic that vocational teachers don’t look forward to teaching. This is often because of their own experience as a student. It is helpful to reflect on some of the reasons for this, as shown in the table below.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543"/>
        <w:gridCol w:w="3351"/>
      </w:tblGrid>
      <w:tr w:rsidR="00472FA7" w14:paraId="793531E9" w14:textId="77777777" w:rsidTr="008D6CD0">
        <w:tc>
          <w:tcPr>
            <w:tcW w:w="2122" w:type="dxa"/>
          </w:tcPr>
          <w:p w14:paraId="1902DA0A" w14:textId="77777777" w:rsidR="00472FA7" w:rsidRPr="00530DE8" w:rsidRDefault="00472FA7" w:rsidP="00530DE8">
            <w:pPr>
              <w:pStyle w:val="Tablehead2"/>
            </w:pPr>
            <w:r w:rsidRPr="00530DE8">
              <w:t>Reason</w:t>
            </w:r>
          </w:p>
        </w:tc>
        <w:tc>
          <w:tcPr>
            <w:tcW w:w="3543" w:type="dxa"/>
          </w:tcPr>
          <w:p w14:paraId="1D737585" w14:textId="77777777" w:rsidR="00472FA7" w:rsidRPr="00530DE8" w:rsidRDefault="00472FA7" w:rsidP="00530DE8">
            <w:pPr>
              <w:pStyle w:val="Tablehead2"/>
            </w:pPr>
            <w:r w:rsidRPr="00530DE8">
              <w:t>Why</w:t>
            </w:r>
          </w:p>
        </w:tc>
        <w:tc>
          <w:tcPr>
            <w:tcW w:w="3351" w:type="dxa"/>
          </w:tcPr>
          <w:p w14:paraId="71703885" w14:textId="77777777" w:rsidR="00472FA7" w:rsidRPr="00530DE8" w:rsidRDefault="00472FA7" w:rsidP="00530DE8">
            <w:pPr>
              <w:pStyle w:val="Tablehead2"/>
            </w:pPr>
            <w:r w:rsidRPr="00530DE8">
              <w:t>Consequence for teaching and learning</w:t>
            </w:r>
          </w:p>
        </w:tc>
      </w:tr>
      <w:tr w:rsidR="00472FA7" w14:paraId="0A933BD3" w14:textId="77777777" w:rsidTr="008D6CD0">
        <w:tc>
          <w:tcPr>
            <w:tcW w:w="2122" w:type="dxa"/>
          </w:tcPr>
          <w:p w14:paraId="08C8B18E" w14:textId="77777777" w:rsidR="00472FA7" w:rsidRDefault="00472FA7" w:rsidP="00530DE8">
            <w:pPr>
              <w:pStyle w:val="Tablebody2"/>
            </w:pPr>
            <w:r>
              <w:t>It feels repetitive and routine.</w:t>
            </w:r>
          </w:p>
        </w:tc>
        <w:tc>
          <w:tcPr>
            <w:tcW w:w="3543" w:type="dxa"/>
          </w:tcPr>
          <w:p w14:paraId="16505C72" w14:textId="77777777" w:rsidR="00472FA7" w:rsidRDefault="00472FA7" w:rsidP="00530DE8">
            <w:pPr>
              <w:pStyle w:val="Tablebody2"/>
            </w:pPr>
            <w:r>
              <w:t>Vocational staff often teach this content:</w:t>
            </w:r>
          </w:p>
          <w:p w14:paraId="23F73C4F" w14:textId="388CCD70" w:rsidR="00472FA7" w:rsidRPr="00530DE8" w:rsidRDefault="00472FA7" w:rsidP="00530DE8">
            <w:pPr>
              <w:pStyle w:val="Tablebullets2"/>
            </w:pPr>
            <w:r w:rsidRPr="00530DE8">
              <w:t>every year</w:t>
            </w:r>
            <w:r w:rsidR="00A30233" w:rsidRPr="00530DE8">
              <w:t>;</w:t>
            </w:r>
          </w:p>
          <w:p w14:paraId="5ED173B2" w14:textId="0676D797" w:rsidR="00472FA7" w:rsidRPr="00530DE8" w:rsidRDefault="00472FA7" w:rsidP="00530DE8">
            <w:pPr>
              <w:pStyle w:val="Tablebullets2"/>
            </w:pPr>
            <w:r w:rsidRPr="00530DE8">
              <w:t>at induction</w:t>
            </w:r>
            <w:r w:rsidR="00A30233" w:rsidRPr="00530DE8">
              <w:t>;</w:t>
            </w:r>
          </w:p>
          <w:p w14:paraId="24505B11" w14:textId="18396944" w:rsidR="00472FA7" w:rsidRPr="00530DE8" w:rsidRDefault="00472FA7" w:rsidP="00530DE8">
            <w:pPr>
              <w:pStyle w:val="Tablebullets2"/>
            </w:pPr>
            <w:r w:rsidRPr="00530DE8">
              <w:t>every time a new unit starts</w:t>
            </w:r>
            <w:r w:rsidR="00A30233" w:rsidRPr="00530DE8">
              <w:t>;</w:t>
            </w:r>
          </w:p>
          <w:p w14:paraId="39C26821" w14:textId="77777777" w:rsidR="00472FA7" w:rsidRDefault="00472FA7" w:rsidP="00530DE8">
            <w:pPr>
              <w:pStyle w:val="Tablebullets2"/>
            </w:pPr>
            <w:r w:rsidRPr="00530DE8">
              <w:t>before every new practical task.</w:t>
            </w:r>
          </w:p>
        </w:tc>
        <w:tc>
          <w:tcPr>
            <w:tcW w:w="3351" w:type="dxa"/>
          </w:tcPr>
          <w:p w14:paraId="7221825E" w14:textId="77777777" w:rsidR="00472FA7" w:rsidRDefault="00472FA7" w:rsidP="00530DE8">
            <w:pPr>
              <w:pStyle w:val="Tablebody2"/>
            </w:pPr>
            <w:r>
              <w:t>This repetition can feel like ‘going through the motions’ rather than meaningful teaching.</w:t>
            </w:r>
          </w:p>
        </w:tc>
      </w:tr>
      <w:tr w:rsidR="00472FA7" w14:paraId="1B52EB46" w14:textId="77777777" w:rsidTr="008D6CD0">
        <w:tc>
          <w:tcPr>
            <w:tcW w:w="2122" w:type="dxa"/>
          </w:tcPr>
          <w:p w14:paraId="4D6AC1E0" w14:textId="77777777" w:rsidR="00472FA7" w:rsidRDefault="00472FA7" w:rsidP="00530DE8">
            <w:pPr>
              <w:pStyle w:val="Tablebody2"/>
            </w:pPr>
            <w:r>
              <w:t>Pressure to cover legal requirements.</w:t>
            </w:r>
          </w:p>
        </w:tc>
        <w:tc>
          <w:tcPr>
            <w:tcW w:w="3543" w:type="dxa"/>
          </w:tcPr>
          <w:p w14:paraId="139C9F5F" w14:textId="77777777" w:rsidR="00472FA7" w:rsidRDefault="00472FA7" w:rsidP="00530DE8">
            <w:pPr>
              <w:pStyle w:val="Tablebody2"/>
            </w:pPr>
            <w:r>
              <w:t xml:space="preserve">Creates a sense of </w:t>
            </w:r>
            <w:r w:rsidRPr="00F17293">
              <w:t>risk</w:t>
            </w:r>
            <w:r>
              <w:t xml:space="preserve"> for </w:t>
            </w:r>
            <w:r>
              <w:rPr>
                <w:i/>
                <w:iCs/>
              </w:rPr>
              <w:t>them:</w:t>
            </w:r>
            <w:r>
              <w:br/>
              <w:t>‘If I don’t teach this well, someone could get hurt… and it’s my responsibility.’</w:t>
            </w:r>
          </w:p>
        </w:tc>
        <w:tc>
          <w:tcPr>
            <w:tcW w:w="3351" w:type="dxa"/>
          </w:tcPr>
          <w:p w14:paraId="7A9AAFB0" w14:textId="77777777" w:rsidR="00472FA7" w:rsidRDefault="00472FA7" w:rsidP="00530DE8">
            <w:pPr>
              <w:pStyle w:val="Tablebody2"/>
            </w:pPr>
            <w:r>
              <w:t>That pressure makes the experience stressful rather than enjoyable.</w:t>
            </w:r>
          </w:p>
        </w:tc>
      </w:tr>
      <w:tr w:rsidR="00472FA7" w14:paraId="3384AE9D" w14:textId="77777777" w:rsidTr="008D6CD0">
        <w:tc>
          <w:tcPr>
            <w:tcW w:w="2122" w:type="dxa"/>
          </w:tcPr>
          <w:p w14:paraId="5718AB7A" w14:textId="77777777" w:rsidR="00472FA7" w:rsidRDefault="00472FA7" w:rsidP="00530DE8">
            <w:pPr>
              <w:pStyle w:val="Tablebody2"/>
            </w:pPr>
            <w:r>
              <w:t>Can feel like policing, not teaching.</w:t>
            </w:r>
          </w:p>
        </w:tc>
        <w:tc>
          <w:tcPr>
            <w:tcW w:w="3543" w:type="dxa"/>
          </w:tcPr>
          <w:p w14:paraId="6877595C" w14:textId="77777777" w:rsidR="00472FA7" w:rsidRDefault="00472FA7" w:rsidP="00530DE8">
            <w:pPr>
              <w:pStyle w:val="Tablebody2"/>
            </w:pPr>
            <w:r>
              <w:t>Teachers may feel more like:</w:t>
            </w:r>
          </w:p>
          <w:p w14:paraId="45AC09CB" w14:textId="6D880C06" w:rsidR="00472FA7" w:rsidRDefault="00472FA7" w:rsidP="00530DE8">
            <w:pPr>
              <w:pStyle w:val="Tablebullets2"/>
            </w:pPr>
            <w:r>
              <w:t>enforcers</w:t>
            </w:r>
            <w:r w:rsidR="00A30233">
              <w:t>;</w:t>
            </w:r>
          </w:p>
          <w:p w14:paraId="740095BF" w14:textId="17423679" w:rsidR="00472FA7" w:rsidRDefault="00472FA7" w:rsidP="00530DE8">
            <w:pPr>
              <w:pStyle w:val="Tablebullets2"/>
            </w:pPr>
            <w:r>
              <w:t>rule-checkers</w:t>
            </w:r>
            <w:r w:rsidR="00A30233">
              <w:t>;</w:t>
            </w:r>
          </w:p>
          <w:p w14:paraId="557DBAE5" w14:textId="77777777" w:rsidR="00472FA7" w:rsidRDefault="00472FA7" w:rsidP="00530DE8">
            <w:pPr>
              <w:pStyle w:val="Tablebullets2"/>
            </w:pPr>
            <w:r>
              <w:t>compliance officers, rather than educators.</w:t>
            </w:r>
          </w:p>
        </w:tc>
        <w:tc>
          <w:tcPr>
            <w:tcW w:w="3351" w:type="dxa"/>
          </w:tcPr>
          <w:p w14:paraId="5377BC6E" w14:textId="77777777" w:rsidR="00472FA7" w:rsidRDefault="00472FA7" w:rsidP="00530DE8">
            <w:pPr>
              <w:pStyle w:val="Tablebody2"/>
            </w:pPr>
            <w:r>
              <w:t>Undermines a sense of professional creativity and autonomy.</w:t>
            </w:r>
          </w:p>
        </w:tc>
      </w:tr>
      <w:tr w:rsidR="00472FA7" w14:paraId="2FA3B2F8" w14:textId="77777777" w:rsidTr="008D6CD0">
        <w:tc>
          <w:tcPr>
            <w:tcW w:w="2122" w:type="dxa"/>
          </w:tcPr>
          <w:p w14:paraId="042B9109" w14:textId="77777777" w:rsidR="00472FA7" w:rsidRDefault="00472FA7" w:rsidP="00530DE8">
            <w:pPr>
              <w:pStyle w:val="Tablebody2"/>
            </w:pPr>
            <w:r>
              <w:t>Interrupts ‘real’ practical learning</w:t>
            </w:r>
          </w:p>
        </w:tc>
        <w:tc>
          <w:tcPr>
            <w:tcW w:w="3543" w:type="dxa"/>
          </w:tcPr>
          <w:p w14:paraId="1667AB23" w14:textId="77777777" w:rsidR="00472FA7" w:rsidRDefault="00472FA7" w:rsidP="00530DE8">
            <w:pPr>
              <w:pStyle w:val="Tablebody2"/>
            </w:pPr>
            <w:r>
              <w:t>Vocational teachers come alive in:</w:t>
            </w:r>
          </w:p>
          <w:p w14:paraId="221D1F47" w14:textId="62306FD6" w:rsidR="00472FA7" w:rsidRPr="00530DE8" w:rsidRDefault="00472FA7" w:rsidP="00530DE8">
            <w:pPr>
              <w:pStyle w:val="Tablebullets2"/>
            </w:pPr>
            <w:r w:rsidRPr="00530DE8">
              <w:t>workshops</w:t>
            </w:r>
            <w:r w:rsidR="00A30233" w:rsidRPr="00530DE8">
              <w:t>;</w:t>
            </w:r>
          </w:p>
          <w:p w14:paraId="5245BE29" w14:textId="50B54746" w:rsidR="00472FA7" w:rsidRPr="00530DE8" w:rsidRDefault="00472FA7" w:rsidP="00530DE8">
            <w:pPr>
              <w:pStyle w:val="Tablebullets2"/>
            </w:pPr>
            <w:r w:rsidRPr="00530DE8">
              <w:t>animal units</w:t>
            </w:r>
            <w:r w:rsidR="00A30233" w:rsidRPr="00530DE8">
              <w:t>;</w:t>
            </w:r>
          </w:p>
          <w:p w14:paraId="589CFCCA" w14:textId="773F4133" w:rsidR="00472FA7" w:rsidRPr="00530DE8" w:rsidRDefault="00472FA7" w:rsidP="00530DE8">
            <w:pPr>
              <w:pStyle w:val="Tablebullets2"/>
            </w:pPr>
            <w:r w:rsidRPr="00530DE8">
              <w:t>studios</w:t>
            </w:r>
            <w:r w:rsidR="00A30233" w:rsidRPr="00530DE8">
              <w:t>;</w:t>
            </w:r>
          </w:p>
          <w:p w14:paraId="199ABFAE" w14:textId="557C2B1C" w:rsidR="00472FA7" w:rsidRPr="00530DE8" w:rsidRDefault="00472FA7" w:rsidP="00530DE8">
            <w:pPr>
              <w:pStyle w:val="Tablebullets2"/>
            </w:pPr>
            <w:r w:rsidRPr="00530DE8">
              <w:t>fieldwork</w:t>
            </w:r>
            <w:r w:rsidR="00A30233" w:rsidRPr="00530DE8">
              <w:t>;</w:t>
            </w:r>
          </w:p>
          <w:p w14:paraId="60B83812" w14:textId="178EB37B" w:rsidR="00472FA7" w:rsidRPr="00530DE8" w:rsidRDefault="00472FA7" w:rsidP="00530DE8">
            <w:pPr>
              <w:pStyle w:val="Tablebullets2"/>
            </w:pPr>
            <w:r w:rsidRPr="00530DE8">
              <w:t>machinery bays</w:t>
            </w:r>
            <w:r w:rsidR="00A30233" w:rsidRPr="00530DE8">
              <w:t>;</w:t>
            </w:r>
          </w:p>
          <w:p w14:paraId="164BFDC8" w14:textId="77777777" w:rsidR="00472FA7" w:rsidRDefault="00472FA7" w:rsidP="00530DE8">
            <w:pPr>
              <w:pStyle w:val="Tablebullets2"/>
            </w:pPr>
            <w:r w:rsidRPr="00530DE8">
              <w:t>laboratories.</w:t>
            </w:r>
          </w:p>
        </w:tc>
        <w:tc>
          <w:tcPr>
            <w:tcW w:w="3351" w:type="dxa"/>
          </w:tcPr>
          <w:p w14:paraId="7C53A311" w14:textId="77777777" w:rsidR="00472FA7" w:rsidRDefault="00472FA7" w:rsidP="00530DE8">
            <w:pPr>
              <w:pStyle w:val="Tablebody2"/>
            </w:pPr>
            <w:r>
              <w:t>Health and safety sessions can feel like a hurdle before the ‘real learning’ begins. This can sap enthusiasm.</w:t>
            </w:r>
          </w:p>
        </w:tc>
      </w:tr>
      <w:tr w:rsidR="00472FA7" w14:paraId="5D56782A" w14:textId="77777777" w:rsidTr="008D6CD0">
        <w:tc>
          <w:tcPr>
            <w:tcW w:w="2122" w:type="dxa"/>
          </w:tcPr>
          <w:p w14:paraId="3615AE3C" w14:textId="77777777" w:rsidR="00472FA7" w:rsidRDefault="00472FA7" w:rsidP="00530DE8">
            <w:pPr>
              <w:pStyle w:val="Tablebody2"/>
            </w:pPr>
            <w:r>
              <w:t>Content can be dry</w:t>
            </w:r>
          </w:p>
        </w:tc>
        <w:tc>
          <w:tcPr>
            <w:tcW w:w="3543" w:type="dxa"/>
          </w:tcPr>
          <w:p w14:paraId="78C9FAFA" w14:textId="77777777" w:rsidR="00472FA7" w:rsidRDefault="00472FA7" w:rsidP="00530DE8">
            <w:pPr>
              <w:pStyle w:val="Tablebody2"/>
            </w:pPr>
            <w:r>
              <w:t>Teachers often rely on:</w:t>
            </w:r>
          </w:p>
          <w:p w14:paraId="77AE3816" w14:textId="58883526" w:rsidR="00472FA7" w:rsidRDefault="00472FA7" w:rsidP="00530DE8">
            <w:pPr>
              <w:pStyle w:val="Tablebullets2"/>
            </w:pPr>
            <w:r>
              <w:t>long PowerPoint presentations</w:t>
            </w:r>
            <w:r w:rsidR="00A30233">
              <w:t>;</w:t>
            </w:r>
          </w:p>
          <w:p w14:paraId="71AA9A27" w14:textId="7C6BC6DF" w:rsidR="00472FA7" w:rsidRDefault="00472FA7" w:rsidP="00530DE8">
            <w:pPr>
              <w:pStyle w:val="Tablebullets2"/>
            </w:pPr>
            <w:r>
              <w:t>policies</w:t>
            </w:r>
            <w:r w:rsidR="00A30233">
              <w:t>;</w:t>
            </w:r>
          </w:p>
          <w:p w14:paraId="38E8B53E" w14:textId="4DB95192" w:rsidR="00472FA7" w:rsidRDefault="00472FA7" w:rsidP="00530DE8">
            <w:pPr>
              <w:pStyle w:val="Tablebullets2"/>
            </w:pPr>
            <w:r>
              <w:lastRenderedPageBreak/>
              <w:t>checklists</w:t>
            </w:r>
            <w:r w:rsidR="00A30233">
              <w:t>;</w:t>
            </w:r>
          </w:p>
          <w:p w14:paraId="527DD4BA" w14:textId="77777777" w:rsidR="00472FA7" w:rsidRDefault="00472FA7" w:rsidP="00530DE8">
            <w:pPr>
              <w:pStyle w:val="Tablebullets2"/>
            </w:pPr>
            <w:r>
              <w:t>standard induction packs.</w:t>
            </w:r>
          </w:p>
        </w:tc>
        <w:tc>
          <w:tcPr>
            <w:tcW w:w="3351" w:type="dxa"/>
          </w:tcPr>
          <w:p w14:paraId="4056CF2B" w14:textId="77777777" w:rsidR="00472FA7" w:rsidRDefault="00472FA7" w:rsidP="00530DE8">
            <w:pPr>
              <w:pStyle w:val="Tablebody2"/>
            </w:pPr>
            <w:r>
              <w:lastRenderedPageBreak/>
              <w:t>Vocational staff prefer hands-on, demonstration-based, applied teaching.</w:t>
            </w:r>
          </w:p>
        </w:tc>
      </w:tr>
      <w:tr w:rsidR="00472FA7" w14:paraId="54297640" w14:textId="77777777" w:rsidTr="008D6CD0">
        <w:tc>
          <w:tcPr>
            <w:tcW w:w="2122" w:type="dxa"/>
          </w:tcPr>
          <w:p w14:paraId="594CD167" w14:textId="4EE027F2" w:rsidR="00472FA7" w:rsidRDefault="00472FA7" w:rsidP="00530DE8">
            <w:pPr>
              <w:pStyle w:val="Tablebody2"/>
            </w:pPr>
            <w:r>
              <w:t>Fear of ‘getting It wrong’</w:t>
            </w:r>
          </w:p>
        </w:tc>
        <w:tc>
          <w:tcPr>
            <w:tcW w:w="3543" w:type="dxa"/>
          </w:tcPr>
          <w:p w14:paraId="730A36B4" w14:textId="77777777" w:rsidR="00472FA7" w:rsidRDefault="00472FA7" w:rsidP="00530DE8">
            <w:pPr>
              <w:pStyle w:val="Tablebody2"/>
            </w:pPr>
            <w:r>
              <w:t>Teachers may worry about:</w:t>
            </w:r>
          </w:p>
          <w:p w14:paraId="69E192DF" w14:textId="597B31EB" w:rsidR="00472FA7" w:rsidRDefault="00472FA7" w:rsidP="00530DE8">
            <w:pPr>
              <w:pStyle w:val="Tablebullets2"/>
            </w:pPr>
            <w:r>
              <w:t>missing a crucial warning</w:t>
            </w:r>
            <w:r w:rsidR="00A30233">
              <w:t>;</w:t>
            </w:r>
          </w:p>
          <w:p w14:paraId="0DCC5C0B" w14:textId="6636E314" w:rsidR="00472FA7" w:rsidRDefault="00472FA7" w:rsidP="00530DE8">
            <w:pPr>
              <w:pStyle w:val="Tablebullets2"/>
            </w:pPr>
            <w:r>
              <w:t>not explaining a risk clearly enough</w:t>
            </w:r>
            <w:r w:rsidR="00A30233">
              <w:t>;</w:t>
            </w:r>
          </w:p>
          <w:p w14:paraId="73F3BC1A" w14:textId="62B266E2" w:rsidR="00472FA7" w:rsidRDefault="00472FA7" w:rsidP="00530DE8">
            <w:pPr>
              <w:pStyle w:val="Tablebullets2"/>
            </w:pPr>
            <w:r>
              <w:t>not having up-to-date guidance</w:t>
            </w:r>
            <w:r w:rsidR="00A30233">
              <w:t>;</w:t>
            </w:r>
          </w:p>
          <w:p w14:paraId="688434CB" w14:textId="77777777" w:rsidR="00472FA7" w:rsidRDefault="00472FA7" w:rsidP="00530DE8">
            <w:pPr>
              <w:pStyle w:val="Tablebullets2"/>
            </w:pPr>
            <w:r>
              <w:t>being blamed if an accident occurs.</w:t>
            </w:r>
          </w:p>
        </w:tc>
        <w:tc>
          <w:tcPr>
            <w:tcW w:w="3351" w:type="dxa"/>
          </w:tcPr>
          <w:p w14:paraId="32EA399F" w14:textId="77777777" w:rsidR="00472FA7" w:rsidRDefault="00472FA7" w:rsidP="00530DE8">
            <w:pPr>
              <w:pStyle w:val="Tablebody2"/>
            </w:pPr>
            <w:r>
              <w:t>This anxiety can reduce confidence or enthusiasm.</w:t>
            </w:r>
          </w:p>
          <w:p w14:paraId="5EB1557D" w14:textId="77777777" w:rsidR="00472FA7" w:rsidRDefault="00472FA7" w:rsidP="00530DE8">
            <w:pPr>
              <w:pStyle w:val="Tablebody2"/>
            </w:pPr>
          </w:p>
        </w:tc>
      </w:tr>
      <w:tr w:rsidR="00472FA7" w14:paraId="1B067B97" w14:textId="77777777" w:rsidTr="008D6CD0">
        <w:tc>
          <w:tcPr>
            <w:tcW w:w="2122" w:type="dxa"/>
          </w:tcPr>
          <w:p w14:paraId="55AA46EC" w14:textId="086940D0" w:rsidR="00472FA7" w:rsidRDefault="00472FA7" w:rsidP="00530DE8">
            <w:pPr>
              <w:pStyle w:val="Tablebody2"/>
            </w:pPr>
            <w:r>
              <w:t>Lack of time to make it engaging</w:t>
            </w:r>
          </w:p>
        </w:tc>
        <w:tc>
          <w:tcPr>
            <w:tcW w:w="3543" w:type="dxa"/>
          </w:tcPr>
          <w:p w14:paraId="006FA521" w14:textId="77777777" w:rsidR="00472FA7" w:rsidRDefault="00472FA7" w:rsidP="00530DE8">
            <w:pPr>
              <w:pStyle w:val="Tablebody2"/>
            </w:pPr>
            <w:r>
              <w:t xml:space="preserve">Practical sessions are time-pressured. </w:t>
            </w:r>
            <w:r w:rsidRPr="00530DE8">
              <w:t>Teachers</w:t>
            </w:r>
            <w:r>
              <w:t xml:space="preserve"> often feel they must:</w:t>
            </w:r>
          </w:p>
          <w:p w14:paraId="561E8AD9" w14:textId="7121C62A" w:rsidR="00472FA7" w:rsidRDefault="00472FA7" w:rsidP="00530DE8">
            <w:pPr>
              <w:pStyle w:val="Tablebullets2"/>
            </w:pPr>
            <w:r>
              <w:t>rush through session induction</w:t>
            </w:r>
            <w:r w:rsidR="00A30233">
              <w:t>;</w:t>
            </w:r>
          </w:p>
          <w:p w14:paraId="6CC198F2" w14:textId="37BC1FD6" w:rsidR="00472FA7" w:rsidRDefault="00472FA7" w:rsidP="00530DE8">
            <w:pPr>
              <w:pStyle w:val="Tablebullets2"/>
            </w:pPr>
            <w:r>
              <w:t>reduce interactivity</w:t>
            </w:r>
            <w:r w:rsidR="00A30233">
              <w:t>;</w:t>
            </w:r>
          </w:p>
          <w:p w14:paraId="5A1579B8" w14:textId="77777777" w:rsidR="00472FA7" w:rsidRDefault="00472FA7" w:rsidP="00530DE8">
            <w:pPr>
              <w:pStyle w:val="Tablebullets2"/>
            </w:pPr>
            <w:r>
              <w:t>prioritise quick compliance over depth.</w:t>
            </w:r>
          </w:p>
        </w:tc>
        <w:tc>
          <w:tcPr>
            <w:tcW w:w="3351" w:type="dxa"/>
          </w:tcPr>
          <w:p w14:paraId="04EB60CA" w14:textId="77777777" w:rsidR="00472FA7" w:rsidRDefault="00472FA7" w:rsidP="00530DE8">
            <w:pPr>
              <w:pStyle w:val="Tablebody2"/>
            </w:pPr>
            <w:r>
              <w:t>This makes it feel transactional, not educational.</w:t>
            </w:r>
          </w:p>
          <w:p w14:paraId="54ECC9CC" w14:textId="77777777" w:rsidR="00472FA7" w:rsidRDefault="00472FA7" w:rsidP="00530DE8">
            <w:pPr>
              <w:pStyle w:val="Tablebody2"/>
            </w:pPr>
          </w:p>
        </w:tc>
      </w:tr>
      <w:tr w:rsidR="00472FA7" w14:paraId="53BCB4A6" w14:textId="77777777" w:rsidTr="008D6CD0">
        <w:tc>
          <w:tcPr>
            <w:tcW w:w="2122" w:type="dxa"/>
          </w:tcPr>
          <w:p w14:paraId="62C01995" w14:textId="48E8337E" w:rsidR="00472FA7" w:rsidRDefault="00472FA7" w:rsidP="00530DE8">
            <w:pPr>
              <w:pStyle w:val="Tablebody2"/>
            </w:pPr>
            <w:r>
              <w:t>Students start disinterested</w:t>
            </w:r>
          </w:p>
        </w:tc>
        <w:tc>
          <w:tcPr>
            <w:tcW w:w="3543" w:type="dxa"/>
          </w:tcPr>
          <w:p w14:paraId="7EA25F23" w14:textId="77777777" w:rsidR="00472FA7" w:rsidRDefault="00472FA7" w:rsidP="00530DE8">
            <w:pPr>
              <w:pStyle w:val="Tablebody2"/>
            </w:pPr>
            <w:r>
              <w:t>Students sometimes:</w:t>
            </w:r>
          </w:p>
          <w:p w14:paraId="3628C524" w14:textId="471E21D8" w:rsidR="00472FA7" w:rsidRDefault="00472FA7" w:rsidP="00530DE8">
            <w:pPr>
              <w:pStyle w:val="Tablebullets2"/>
            </w:pPr>
            <w:r>
              <w:t>think the content is boring</w:t>
            </w:r>
            <w:r w:rsidR="00A30233">
              <w:t>;</w:t>
            </w:r>
          </w:p>
          <w:p w14:paraId="551FC0A1" w14:textId="6A0531C9" w:rsidR="00472FA7" w:rsidRDefault="00472FA7" w:rsidP="00530DE8">
            <w:pPr>
              <w:pStyle w:val="Tablebullets2"/>
            </w:pPr>
            <w:r>
              <w:t>believe they already know it</w:t>
            </w:r>
            <w:r w:rsidR="00A30233">
              <w:t>;</w:t>
            </w:r>
          </w:p>
          <w:p w14:paraId="3E2DD66D" w14:textId="6453CF73" w:rsidR="00472FA7" w:rsidRDefault="00472FA7" w:rsidP="00530DE8">
            <w:pPr>
              <w:pStyle w:val="Tablebullets2"/>
            </w:pPr>
            <w:r>
              <w:t>switch off</w:t>
            </w:r>
            <w:r w:rsidR="00A30233">
              <w:t>;</w:t>
            </w:r>
          </w:p>
          <w:p w14:paraId="7F87E9B0" w14:textId="77777777" w:rsidR="00472FA7" w:rsidRDefault="00472FA7" w:rsidP="00530DE8">
            <w:pPr>
              <w:pStyle w:val="Tablebullets2"/>
            </w:pPr>
            <w:r>
              <w:t>resist rules or boundaries.</w:t>
            </w:r>
          </w:p>
        </w:tc>
        <w:tc>
          <w:tcPr>
            <w:tcW w:w="3351" w:type="dxa"/>
          </w:tcPr>
          <w:p w14:paraId="1C1CF9D4" w14:textId="77777777" w:rsidR="00472FA7" w:rsidRDefault="00472FA7" w:rsidP="00530DE8">
            <w:pPr>
              <w:pStyle w:val="Tablebody2"/>
            </w:pPr>
            <w:r>
              <w:t>Teaching a topic students already don’t value is naturally demotivating.</w:t>
            </w:r>
          </w:p>
          <w:p w14:paraId="1EA8FB48" w14:textId="77777777" w:rsidR="00472FA7" w:rsidRDefault="00472FA7" w:rsidP="00530DE8">
            <w:pPr>
              <w:pStyle w:val="Tablebody2"/>
            </w:pPr>
          </w:p>
        </w:tc>
      </w:tr>
    </w:tbl>
    <w:p w14:paraId="6EB7F45E" w14:textId="77777777" w:rsidR="00472FA7" w:rsidRDefault="00472FA7" w:rsidP="008D6CD0">
      <w:pPr>
        <w:spacing w:before="240" w:line="240" w:lineRule="auto"/>
      </w:pPr>
      <w:r>
        <w:t>Students also tend to dislike learning about health, safety and welfare, for several reasons: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543"/>
        <w:gridCol w:w="3351"/>
      </w:tblGrid>
      <w:tr w:rsidR="00472FA7" w14:paraId="2122EA0C" w14:textId="77777777" w:rsidTr="00530DE8">
        <w:tc>
          <w:tcPr>
            <w:tcW w:w="2122" w:type="dxa"/>
          </w:tcPr>
          <w:p w14:paraId="2CAB95D8" w14:textId="77777777" w:rsidR="00472FA7" w:rsidRDefault="00472FA7" w:rsidP="00530DE8">
            <w:pPr>
              <w:pStyle w:val="Tablehead2"/>
            </w:pPr>
            <w:r>
              <w:t>Reason</w:t>
            </w:r>
          </w:p>
        </w:tc>
        <w:tc>
          <w:tcPr>
            <w:tcW w:w="3543" w:type="dxa"/>
          </w:tcPr>
          <w:p w14:paraId="4DA03E7C" w14:textId="77777777" w:rsidR="00472FA7" w:rsidRDefault="00472FA7" w:rsidP="00530DE8">
            <w:pPr>
              <w:pStyle w:val="Tablehead2"/>
            </w:pPr>
            <w:r>
              <w:t>Why</w:t>
            </w:r>
          </w:p>
        </w:tc>
        <w:tc>
          <w:tcPr>
            <w:tcW w:w="3351" w:type="dxa"/>
          </w:tcPr>
          <w:p w14:paraId="1789EBAC" w14:textId="77777777" w:rsidR="00472FA7" w:rsidRDefault="00472FA7" w:rsidP="00530DE8">
            <w:pPr>
              <w:pStyle w:val="Tablehead2"/>
            </w:pPr>
            <w:r>
              <w:t>Consequence for teaching and learning</w:t>
            </w:r>
          </w:p>
        </w:tc>
      </w:tr>
      <w:tr w:rsidR="00472FA7" w14:paraId="7C56B923" w14:textId="77777777" w:rsidTr="00530DE8">
        <w:tc>
          <w:tcPr>
            <w:tcW w:w="2122" w:type="dxa"/>
          </w:tcPr>
          <w:p w14:paraId="5379898D" w14:textId="0F0C5101" w:rsidR="00472FA7" w:rsidRPr="00530DE8" w:rsidRDefault="00472FA7" w:rsidP="00530DE8">
            <w:pPr>
              <w:pStyle w:val="Tablebody2"/>
            </w:pPr>
            <w:r w:rsidRPr="00530DE8">
              <w:t>Perception that it is boring or repetitive</w:t>
            </w:r>
          </w:p>
        </w:tc>
        <w:tc>
          <w:tcPr>
            <w:tcW w:w="3543" w:type="dxa"/>
          </w:tcPr>
          <w:p w14:paraId="789ED317" w14:textId="77777777" w:rsidR="00472FA7" w:rsidRDefault="00472FA7" w:rsidP="00530DE8">
            <w:pPr>
              <w:pStyle w:val="Tablebody2"/>
            </w:pPr>
            <w:r>
              <w:t xml:space="preserve">Content is </w:t>
            </w:r>
            <w:r w:rsidRPr="00530DE8">
              <w:t>often</w:t>
            </w:r>
            <w:r>
              <w:t xml:space="preserve"> seen as:</w:t>
            </w:r>
          </w:p>
          <w:p w14:paraId="001516A4" w14:textId="48E012ED" w:rsidR="00472FA7" w:rsidRDefault="00472FA7" w:rsidP="00530DE8">
            <w:pPr>
              <w:pStyle w:val="Tablebullets2"/>
            </w:pPr>
            <w:r>
              <w:t>rule-heavy</w:t>
            </w:r>
            <w:r w:rsidR="00A30233">
              <w:t>;</w:t>
            </w:r>
          </w:p>
          <w:p w14:paraId="441239AA" w14:textId="5742EA69" w:rsidR="00472FA7" w:rsidRDefault="00472FA7" w:rsidP="00530DE8">
            <w:pPr>
              <w:pStyle w:val="Tablebullets2"/>
            </w:pPr>
            <w:r>
              <w:t>common-sense</w:t>
            </w:r>
            <w:r w:rsidR="00A30233">
              <w:t>;</w:t>
            </w:r>
          </w:p>
          <w:p w14:paraId="0A3B0F6C" w14:textId="77777777" w:rsidR="00472FA7" w:rsidRDefault="00472FA7" w:rsidP="00530DE8">
            <w:pPr>
              <w:pStyle w:val="Tablebullets2"/>
            </w:pPr>
            <w:r>
              <w:t>repetitive (especially if (re)taught each year.</w:t>
            </w:r>
          </w:p>
        </w:tc>
        <w:tc>
          <w:tcPr>
            <w:tcW w:w="3351" w:type="dxa"/>
          </w:tcPr>
          <w:p w14:paraId="16CB4920" w14:textId="77777777" w:rsidR="00472FA7" w:rsidRDefault="00472FA7" w:rsidP="00530DE8">
            <w:pPr>
              <w:pStyle w:val="Tablebody2"/>
            </w:pPr>
            <w:r>
              <w:t>Many students feel they already know it, even when they don’t.</w:t>
            </w:r>
          </w:p>
          <w:p w14:paraId="0FC10E85" w14:textId="77777777" w:rsidR="00472FA7" w:rsidRDefault="00472FA7" w:rsidP="00530DE8">
            <w:pPr>
              <w:pStyle w:val="Tablebody2"/>
            </w:pPr>
          </w:p>
        </w:tc>
      </w:tr>
      <w:tr w:rsidR="00472FA7" w14:paraId="7CC2CB73" w14:textId="77777777" w:rsidTr="00530DE8">
        <w:tc>
          <w:tcPr>
            <w:tcW w:w="2122" w:type="dxa"/>
          </w:tcPr>
          <w:p w14:paraId="26097618" w14:textId="668C39E0" w:rsidR="00472FA7" w:rsidRPr="00530DE8" w:rsidRDefault="00472FA7" w:rsidP="00530DE8">
            <w:pPr>
              <w:pStyle w:val="Tablebody2"/>
            </w:pPr>
            <w:r w:rsidRPr="00530DE8">
              <w:t>Lack of relevance to their interests</w:t>
            </w:r>
          </w:p>
        </w:tc>
        <w:tc>
          <w:tcPr>
            <w:tcW w:w="3543" w:type="dxa"/>
          </w:tcPr>
          <w:p w14:paraId="54042C4B" w14:textId="77777777" w:rsidR="00472FA7" w:rsidRDefault="00472FA7" w:rsidP="00530DE8">
            <w:pPr>
              <w:pStyle w:val="Tablebody2"/>
            </w:pPr>
            <w:r>
              <w:t>Students disengage if they cannot see how a safety lesson links to:</w:t>
            </w:r>
          </w:p>
          <w:p w14:paraId="3F240E37" w14:textId="3D27A698" w:rsidR="00472FA7" w:rsidRDefault="00472FA7" w:rsidP="00530DE8">
            <w:pPr>
              <w:pStyle w:val="Tablebullets2"/>
            </w:pPr>
            <w:r>
              <w:t>their course</w:t>
            </w:r>
            <w:r w:rsidR="00A30233">
              <w:t>;</w:t>
            </w:r>
          </w:p>
          <w:p w14:paraId="65422D11" w14:textId="352EF700" w:rsidR="00472FA7" w:rsidRDefault="00472FA7" w:rsidP="00530DE8">
            <w:pPr>
              <w:pStyle w:val="Tablebullets2"/>
            </w:pPr>
            <w:r>
              <w:t>future job</w:t>
            </w:r>
            <w:r w:rsidR="00A30233">
              <w:t>;</w:t>
            </w:r>
          </w:p>
          <w:p w14:paraId="2D8C6DDA" w14:textId="3571F37B" w:rsidR="00472FA7" w:rsidRPr="008D6CD0" w:rsidRDefault="00472FA7" w:rsidP="00530DE8">
            <w:pPr>
              <w:pStyle w:val="Tablebullets2"/>
            </w:pPr>
            <w:r>
              <w:t>personal experience.</w:t>
            </w:r>
          </w:p>
        </w:tc>
        <w:tc>
          <w:tcPr>
            <w:tcW w:w="3351" w:type="dxa"/>
          </w:tcPr>
          <w:p w14:paraId="09A1D05A" w14:textId="77777777" w:rsidR="00472FA7" w:rsidRDefault="00472FA7" w:rsidP="00530DE8">
            <w:pPr>
              <w:pStyle w:val="Tablebody2"/>
            </w:pPr>
            <w:r>
              <w:t>Abstract health and safety rules feel disconnected from real consequences.</w:t>
            </w:r>
          </w:p>
          <w:p w14:paraId="0D7B67D9" w14:textId="77777777" w:rsidR="008D6CD0" w:rsidRPr="008D6CD0" w:rsidRDefault="008D6CD0" w:rsidP="00530DE8">
            <w:pPr>
              <w:pStyle w:val="Tablebody2"/>
            </w:pPr>
          </w:p>
          <w:p w14:paraId="3D8DBF4C" w14:textId="77777777" w:rsidR="008D6CD0" w:rsidRPr="008D6CD0" w:rsidRDefault="008D6CD0" w:rsidP="00530DE8">
            <w:pPr>
              <w:pStyle w:val="Tablebody2"/>
            </w:pPr>
          </w:p>
          <w:p w14:paraId="7F5F0EAC" w14:textId="77777777" w:rsidR="008D6CD0" w:rsidRPr="008D6CD0" w:rsidRDefault="008D6CD0" w:rsidP="00530DE8">
            <w:pPr>
              <w:pStyle w:val="Tablebody2"/>
            </w:pPr>
          </w:p>
        </w:tc>
      </w:tr>
      <w:tr w:rsidR="00472FA7" w14:paraId="3AAA06B0" w14:textId="77777777" w:rsidTr="00530DE8">
        <w:tc>
          <w:tcPr>
            <w:tcW w:w="2122" w:type="dxa"/>
          </w:tcPr>
          <w:p w14:paraId="5803FB6E" w14:textId="3D091A77" w:rsidR="00472FA7" w:rsidRPr="00530DE8" w:rsidRDefault="00A30233" w:rsidP="00530DE8">
            <w:pPr>
              <w:pStyle w:val="Tablebody2"/>
            </w:pPr>
            <w:r w:rsidRPr="00530DE8">
              <w:lastRenderedPageBreak/>
              <w:t>E</w:t>
            </w:r>
            <w:r w:rsidR="00472FA7" w:rsidRPr="00530DE8">
              <w:t>mphasises danger, which can cause resistance</w:t>
            </w:r>
          </w:p>
        </w:tc>
        <w:tc>
          <w:tcPr>
            <w:tcW w:w="3543" w:type="dxa"/>
          </w:tcPr>
          <w:p w14:paraId="2BD18028" w14:textId="77777777" w:rsidR="00472FA7" w:rsidRDefault="00472FA7" w:rsidP="00530DE8">
            <w:pPr>
              <w:pStyle w:val="Tablebody2"/>
            </w:pPr>
            <w:r>
              <w:t>Talking about accidents, injury or legal responsibilities can trigger:</w:t>
            </w:r>
          </w:p>
          <w:p w14:paraId="1F2E462A" w14:textId="65C69669" w:rsidR="00472FA7" w:rsidRDefault="00472FA7" w:rsidP="00530DE8">
            <w:pPr>
              <w:pStyle w:val="Tablebullets2"/>
            </w:pPr>
            <w:r>
              <w:t>discomfort</w:t>
            </w:r>
            <w:r w:rsidR="00A30233">
              <w:t>;</w:t>
            </w:r>
          </w:p>
          <w:p w14:paraId="4D46859C" w14:textId="0E852B11" w:rsidR="00472FA7" w:rsidRDefault="00472FA7" w:rsidP="00530DE8">
            <w:pPr>
              <w:pStyle w:val="Tablebullets2"/>
            </w:pPr>
            <w:r>
              <w:t>avoidance</w:t>
            </w:r>
            <w:r w:rsidR="00A30233">
              <w:t>;</w:t>
            </w:r>
          </w:p>
          <w:p w14:paraId="25808F09" w14:textId="77777777" w:rsidR="00472FA7" w:rsidRDefault="00472FA7" w:rsidP="00530DE8">
            <w:pPr>
              <w:pStyle w:val="Tablebullets2"/>
            </w:pPr>
            <w:r>
              <w:t>defensiveness;</w:t>
            </w:r>
          </w:p>
          <w:p w14:paraId="4FFC0C2F" w14:textId="77777777" w:rsidR="00472FA7" w:rsidRDefault="00472FA7" w:rsidP="00530DE8">
            <w:pPr>
              <w:pStyle w:val="Tablebullets2"/>
            </w:pPr>
            <w:r>
              <w:t>‘It won’t happen to me’ thinking.</w:t>
            </w:r>
          </w:p>
        </w:tc>
        <w:tc>
          <w:tcPr>
            <w:tcW w:w="3351" w:type="dxa"/>
          </w:tcPr>
          <w:p w14:paraId="136C3E98" w14:textId="77777777" w:rsidR="00472FA7" w:rsidRDefault="00472FA7" w:rsidP="00530DE8">
            <w:pPr>
              <w:pStyle w:val="Tablebody2"/>
            </w:pPr>
            <w:r>
              <w:t>Students become emotionally disengaged.</w:t>
            </w:r>
          </w:p>
        </w:tc>
      </w:tr>
      <w:tr w:rsidR="00472FA7" w14:paraId="276041B3" w14:textId="77777777" w:rsidTr="00530DE8">
        <w:tc>
          <w:tcPr>
            <w:tcW w:w="2122" w:type="dxa"/>
          </w:tcPr>
          <w:p w14:paraId="27CF73FE" w14:textId="2149171B" w:rsidR="00472FA7" w:rsidRPr="00530DE8" w:rsidRDefault="00472FA7" w:rsidP="00530DE8">
            <w:pPr>
              <w:pStyle w:val="Tablebody2"/>
            </w:pPr>
            <w:r w:rsidRPr="00530DE8">
              <w:t>Delivered in a dry or compliance-focused way</w:t>
            </w:r>
          </w:p>
        </w:tc>
        <w:tc>
          <w:tcPr>
            <w:tcW w:w="3543" w:type="dxa"/>
          </w:tcPr>
          <w:p w14:paraId="5CA199E2" w14:textId="77777777" w:rsidR="00472FA7" w:rsidRDefault="00472FA7" w:rsidP="00530DE8">
            <w:pPr>
              <w:pStyle w:val="Tablebody2"/>
            </w:pPr>
            <w:r>
              <w:t>Traditional delivery often relies on:</w:t>
            </w:r>
          </w:p>
          <w:p w14:paraId="3E995F4C" w14:textId="25D1D463" w:rsidR="00472FA7" w:rsidRDefault="00472FA7" w:rsidP="00530DE8">
            <w:pPr>
              <w:pStyle w:val="Tablebullets2"/>
            </w:pPr>
            <w:r>
              <w:t>long PowerPoint presentations</w:t>
            </w:r>
            <w:r w:rsidR="00A30233">
              <w:t>;</w:t>
            </w:r>
          </w:p>
          <w:p w14:paraId="1CE9CB8A" w14:textId="7DCDB00E" w:rsidR="00472FA7" w:rsidRDefault="00472FA7" w:rsidP="00530DE8">
            <w:pPr>
              <w:pStyle w:val="Tablebullets2"/>
            </w:pPr>
            <w:r>
              <w:t>checklists</w:t>
            </w:r>
            <w:r w:rsidR="00A30233">
              <w:t>;</w:t>
            </w:r>
          </w:p>
          <w:p w14:paraId="50323A4F" w14:textId="56E7FDF9" w:rsidR="00472FA7" w:rsidRDefault="00472FA7" w:rsidP="00530DE8">
            <w:pPr>
              <w:pStyle w:val="Tablebullets2"/>
            </w:pPr>
            <w:r>
              <w:t>lengthy policies</w:t>
            </w:r>
            <w:r w:rsidR="00A30233">
              <w:t>;</w:t>
            </w:r>
          </w:p>
          <w:p w14:paraId="31F3C5FC" w14:textId="77777777" w:rsidR="00472FA7" w:rsidRDefault="00472FA7" w:rsidP="00530DE8">
            <w:pPr>
              <w:pStyle w:val="Tablebullets2"/>
            </w:pPr>
            <w:r>
              <w:t>passive learning.</w:t>
            </w:r>
          </w:p>
        </w:tc>
        <w:tc>
          <w:tcPr>
            <w:tcW w:w="3351" w:type="dxa"/>
          </w:tcPr>
          <w:p w14:paraId="6FFF33DA" w14:textId="77777777" w:rsidR="00472FA7" w:rsidRDefault="00472FA7" w:rsidP="00530DE8">
            <w:pPr>
              <w:pStyle w:val="Tablebody2"/>
            </w:pPr>
            <w:r>
              <w:t>Motivation drops because teaching feels like a ‘tick-box’ exercise.</w:t>
            </w:r>
          </w:p>
          <w:p w14:paraId="2C753433" w14:textId="77777777" w:rsidR="00472FA7" w:rsidRDefault="00472FA7" w:rsidP="00530DE8">
            <w:pPr>
              <w:pStyle w:val="Tablebody2"/>
            </w:pPr>
          </w:p>
        </w:tc>
      </w:tr>
      <w:tr w:rsidR="00472FA7" w14:paraId="3980BEA5" w14:textId="77777777" w:rsidTr="00530DE8">
        <w:tc>
          <w:tcPr>
            <w:tcW w:w="2122" w:type="dxa"/>
          </w:tcPr>
          <w:p w14:paraId="32C53A35" w14:textId="0C08326A" w:rsidR="00472FA7" w:rsidRPr="00530DE8" w:rsidRDefault="00472FA7" w:rsidP="00530DE8">
            <w:pPr>
              <w:pStyle w:val="Tablebody2"/>
            </w:pPr>
            <w:r w:rsidRPr="00530DE8">
              <w:t>They feel overwhelmed by rules</w:t>
            </w:r>
          </w:p>
        </w:tc>
        <w:tc>
          <w:tcPr>
            <w:tcW w:w="3543" w:type="dxa"/>
          </w:tcPr>
          <w:p w14:paraId="5356D659" w14:textId="77777777" w:rsidR="00472FA7" w:rsidRDefault="00472FA7" w:rsidP="00530DE8">
            <w:pPr>
              <w:pStyle w:val="Tablebody2"/>
            </w:pPr>
            <w:r>
              <w:t>Too many rules at once can cause cognitive overload.</w:t>
            </w:r>
            <w:r>
              <w:br/>
              <w:t>Students may think:</w:t>
            </w:r>
          </w:p>
          <w:p w14:paraId="4569FF08" w14:textId="1D072116" w:rsidR="00472FA7" w:rsidRDefault="00472FA7" w:rsidP="00530DE8">
            <w:pPr>
              <w:pStyle w:val="Tablebullets2"/>
            </w:pPr>
            <w:r>
              <w:t>‘I’ll never remember all of this.’</w:t>
            </w:r>
            <w:r w:rsidR="00A30233">
              <w:t>;</w:t>
            </w:r>
          </w:p>
          <w:p w14:paraId="0E69A290" w14:textId="2306A852" w:rsidR="00472FA7" w:rsidRDefault="00472FA7" w:rsidP="00530DE8">
            <w:pPr>
              <w:pStyle w:val="Tablebullets2"/>
            </w:pPr>
            <w:r>
              <w:t>‘I don’t know what actually matters.’</w:t>
            </w:r>
            <w:r w:rsidR="00A30233">
              <w:t>.</w:t>
            </w:r>
          </w:p>
        </w:tc>
        <w:tc>
          <w:tcPr>
            <w:tcW w:w="3351" w:type="dxa"/>
          </w:tcPr>
          <w:p w14:paraId="058E1AD3" w14:textId="77777777" w:rsidR="00472FA7" w:rsidRDefault="00472FA7" w:rsidP="00530DE8">
            <w:pPr>
              <w:pStyle w:val="Tablebody2"/>
            </w:pPr>
            <w:r>
              <w:t>Students ‘switch off’ to protect mental bandwidth.</w:t>
            </w:r>
          </w:p>
          <w:p w14:paraId="37A7C015" w14:textId="77777777" w:rsidR="00472FA7" w:rsidRDefault="00472FA7" w:rsidP="00530DE8">
            <w:pPr>
              <w:pStyle w:val="Tablebody2"/>
            </w:pPr>
          </w:p>
        </w:tc>
      </w:tr>
      <w:tr w:rsidR="00472FA7" w14:paraId="4EA4A2A2" w14:textId="77777777" w:rsidTr="00530DE8">
        <w:tc>
          <w:tcPr>
            <w:tcW w:w="2122" w:type="dxa"/>
          </w:tcPr>
          <w:p w14:paraId="1B1E91B1" w14:textId="77777777" w:rsidR="00472FA7" w:rsidRPr="00530DE8" w:rsidRDefault="00472FA7" w:rsidP="00530DE8">
            <w:pPr>
              <w:pStyle w:val="Tablebody2"/>
            </w:pPr>
            <w:r w:rsidRPr="00530DE8">
              <w:t xml:space="preserve">‘Invincibility </w:t>
            </w:r>
            <w:proofErr w:type="spellStart"/>
            <w:r w:rsidRPr="00530DE8">
              <w:t>bias’</w:t>
            </w:r>
            <w:proofErr w:type="spellEnd"/>
            <w:r w:rsidRPr="00530DE8">
              <w:t xml:space="preserve"> in younger students</w:t>
            </w:r>
          </w:p>
        </w:tc>
        <w:tc>
          <w:tcPr>
            <w:tcW w:w="3543" w:type="dxa"/>
          </w:tcPr>
          <w:p w14:paraId="7EC7ED4B" w14:textId="77777777" w:rsidR="00472FA7" w:rsidRDefault="00472FA7" w:rsidP="00530DE8">
            <w:pPr>
              <w:pStyle w:val="Tablebody2"/>
            </w:pPr>
            <w:r>
              <w:t>Younger students often underestimate risk due to:</w:t>
            </w:r>
          </w:p>
          <w:p w14:paraId="56E746B6" w14:textId="77777777" w:rsidR="00472FA7" w:rsidRDefault="00472FA7" w:rsidP="00530DE8">
            <w:pPr>
              <w:pStyle w:val="Tablebullets2"/>
            </w:pPr>
            <w:r>
              <w:t>a belief that serious accidents happen only to older or less-skilled people</w:t>
            </w:r>
          </w:p>
          <w:p w14:paraId="0190A6B0" w14:textId="77777777" w:rsidR="00472FA7" w:rsidRDefault="00472FA7" w:rsidP="00530DE8">
            <w:pPr>
              <w:pStyle w:val="Tablebullets2"/>
            </w:pPr>
            <w:r>
              <w:t>peer pressure</w:t>
            </w:r>
          </w:p>
          <w:p w14:paraId="25575700" w14:textId="77777777" w:rsidR="00472FA7" w:rsidRDefault="00472FA7" w:rsidP="00530DE8">
            <w:pPr>
              <w:pStyle w:val="Tablebullets2"/>
            </w:pPr>
            <w:r>
              <w:t>feeling confident or fearless.</w:t>
            </w:r>
          </w:p>
        </w:tc>
        <w:tc>
          <w:tcPr>
            <w:tcW w:w="3351" w:type="dxa"/>
          </w:tcPr>
          <w:p w14:paraId="22B16329" w14:textId="77777777" w:rsidR="00472FA7" w:rsidRDefault="00472FA7" w:rsidP="00530DE8">
            <w:pPr>
              <w:pStyle w:val="Tablebody2"/>
            </w:pPr>
            <w:r>
              <w:t>Students may view safety messages as unnecessary or exaggerated.</w:t>
            </w:r>
          </w:p>
          <w:p w14:paraId="0A35D7CE" w14:textId="77777777" w:rsidR="00472FA7" w:rsidRDefault="00472FA7" w:rsidP="00530DE8">
            <w:pPr>
              <w:pStyle w:val="Tablebody2"/>
            </w:pPr>
          </w:p>
        </w:tc>
      </w:tr>
      <w:tr w:rsidR="00472FA7" w14:paraId="1DBA1A8E" w14:textId="77777777" w:rsidTr="00530DE8">
        <w:tc>
          <w:tcPr>
            <w:tcW w:w="2122" w:type="dxa"/>
          </w:tcPr>
          <w:p w14:paraId="1D000A2A" w14:textId="5174081D" w:rsidR="00472FA7" w:rsidRPr="00530DE8" w:rsidRDefault="00472FA7" w:rsidP="00530DE8">
            <w:pPr>
              <w:pStyle w:val="Tablebody2"/>
            </w:pPr>
            <w:r w:rsidRPr="00530DE8">
              <w:t>Poor timing or placement in curriculum</w:t>
            </w:r>
          </w:p>
        </w:tc>
        <w:tc>
          <w:tcPr>
            <w:tcW w:w="3543" w:type="dxa"/>
          </w:tcPr>
          <w:p w14:paraId="2592BF3B" w14:textId="77777777" w:rsidR="00472FA7" w:rsidRDefault="00472FA7" w:rsidP="00530DE8">
            <w:pPr>
              <w:pStyle w:val="Tablebody2"/>
            </w:pPr>
            <w:r>
              <w:t>Because health and safety is always taught:</w:t>
            </w:r>
          </w:p>
          <w:p w14:paraId="09BF0956" w14:textId="358D047C" w:rsidR="00472FA7" w:rsidRDefault="00472FA7" w:rsidP="00530DE8">
            <w:pPr>
              <w:pStyle w:val="Tablebullets2"/>
            </w:pPr>
            <w:r>
              <w:t>at induction</w:t>
            </w:r>
            <w:r w:rsidR="00A30233">
              <w:t>;</w:t>
            </w:r>
          </w:p>
          <w:p w14:paraId="00D5E5FD" w14:textId="7DF1EB6D" w:rsidR="00472FA7" w:rsidRDefault="00472FA7" w:rsidP="00530DE8">
            <w:pPr>
              <w:pStyle w:val="Tablebullets2"/>
            </w:pPr>
            <w:r>
              <w:t>at the start of the year</w:t>
            </w:r>
            <w:r w:rsidR="00A30233">
              <w:t>;</w:t>
            </w:r>
          </w:p>
          <w:p w14:paraId="28E4C1CD" w14:textId="44E1A165" w:rsidR="00472FA7" w:rsidRDefault="00472FA7" w:rsidP="00530DE8">
            <w:pPr>
              <w:pStyle w:val="Tablebullets2"/>
            </w:pPr>
            <w:r>
              <w:t>before students have context</w:t>
            </w:r>
            <w:r w:rsidR="00A30233">
              <w:t>;</w:t>
            </w:r>
          </w:p>
          <w:p w14:paraId="6AEB935D" w14:textId="77777777" w:rsidR="00472FA7" w:rsidRDefault="00472FA7" w:rsidP="00530DE8">
            <w:pPr>
              <w:pStyle w:val="Tablebullets2"/>
            </w:pPr>
            <w:r>
              <w:t>without practical examples.</w:t>
            </w:r>
          </w:p>
        </w:tc>
        <w:tc>
          <w:tcPr>
            <w:tcW w:w="3351" w:type="dxa"/>
          </w:tcPr>
          <w:p w14:paraId="6A813D79" w14:textId="77777777" w:rsidR="00472FA7" w:rsidRDefault="00472FA7" w:rsidP="00530DE8">
            <w:pPr>
              <w:pStyle w:val="Tablebody2"/>
            </w:pPr>
            <w:r>
              <w:t>Students may feel that health and safety is an interruption to their vocational subject, rather than meaningful learning.</w:t>
            </w:r>
          </w:p>
          <w:p w14:paraId="7B2035BA" w14:textId="77777777" w:rsidR="00472FA7" w:rsidRDefault="00472FA7" w:rsidP="00530DE8">
            <w:pPr>
              <w:pStyle w:val="Tablebody2"/>
            </w:pPr>
          </w:p>
        </w:tc>
      </w:tr>
      <w:tr w:rsidR="00472FA7" w14:paraId="283499E6" w14:textId="77777777" w:rsidTr="00530DE8">
        <w:tc>
          <w:tcPr>
            <w:tcW w:w="2122" w:type="dxa"/>
          </w:tcPr>
          <w:p w14:paraId="07998857" w14:textId="6B6819F6" w:rsidR="00472FA7" w:rsidRPr="00530DE8" w:rsidRDefault="00472FA7" w:rsidP="00530DE8">
            <w:pPr>
              <w:pStyle w:val="Tablebody2"/>
            </w:pPr>
            <w:r w:rsidRPr="00530DE8">
              <w:t>They see it as something forced on them</w:t>
            </w:r>
          </w:p>
        </w:tc>
        <w:tc>
          <w:tcPr>
            <w:tcW w:w="3543" w:type="dxa"/>
          </w:tcPr>
          <w:p w14:paraId="28102169" w14:textId="77777777" w:rsidR="00472FA7" w:rsidRDefault="00472FA7" w:rsidP="00530DE8">
            <w:pPr>
              <w:pStyle w:val="Tablebody2"/>
            </w:pPr>
            <w:r>
              <w:t xml:space="preserve">Because health and safety is usually a </w:t>
            </w:r>
            <w:r>
              <w:rPr>
                <w:i/>
                <w:iCs/>
              </w:rPr>
              <w:t>requirement</w:t>
            </w:r>
            <w:r>
              <w:t xml:space="preserve">, not a </w:t>
            </w:r>
            <w:r>
              <w:rPr>
                <w:i/>
                <w:iCs/>
              </w:rPr>
              <w:t>choice</w:t>
            </w:r>
            <w:r>
              <w:t>, some students feel:</w:t>
            </w:r>
          </w:p>
          <w:p w14:paraId="0DDE8EA4" w14:textId="1EF96FA4" w:rsidR="00472FA7" w:rsidRDefault="00472FA7" w:rsidP="00530DE8">
            <w:pPr>
              <w:pStyle w:val="Tablebullets2"/>
            </w:pPr>
            <w:r>
              <w:t>controlled</w:t>
            </w:r>
            <w:r w:rsidR="00A30233">
              <w:t>;</w:t>
            </w:r>
          </w:p>
          <w:p w14:paraId="2E12E6B9" w14:textId="623CB926" w:rsidR="00472FA7" w:rsidRDefault="00472FA7" w:rsidP="00530DE8">
            <w:pPr>
              <w:pStyle w:val="Tablebullets2"/>
            </w:pPr>
            <w:r>
              <w:t>restricted</w:t>
            </w:r>
            <w:r w:rsidR="00A30233">
              <w:t>;</w:t>
            </w:r>
          </w:p>
          <w:p w14:paraId="262A0314" w14:textId="4E97C716" w:rsidR="00472FA7" w:rsidRDefault="00472FA7" w:rsidP="00530DE8">
            <w:pPr>
              <w:pStyle w:val="Tablebullets2"/>
            </w:pPr>
            <w:r>
              <w:t>patronised</w:t>
            </w:r>
            <w:r w:rsidR="00A30233">
              <w:t>;</w:t>
            </w:r>
          </w:p>
          <w:p w14:paraId="34C4CEC3" w14:textId="77777777" w:rsidR="00472FA7" w:rsidRDefault="00472FA7" w:rsidP="00530DE8">
            <w:pPr>
              <w:pStyle w:val="Tablebullets2"/>
            </w:pPr>
            <w:r>
              <w:t>treated as incapable.</w:t>
            </w:r>
          </w:p>
        </w:tc>
        <w:tc>
          <w:tcPr>
            <w:tcW w:w="3351" w:type="dxa"/>
          </w:tcPr>
          <w:p w14:paraId="7D3CE707" w14:textId="77777777" w:rsidR="00472FA7" w:rsidRDefault="00472FA7" w:rsidP="00530DE8">
            <w:pPr>
              <w:pStyle w:val="Tablebody2"/>
            </w:pPr>
            <w:r>
              <w:t>Intrinsic motivation is undermined.</w:t>
            </w:r>
          </w:p>
          <w:p w14:paraId="2477EFBB" w14:textId="77777777" w:rsidR="00472FA7" w:rsidRDefault="00472FA7" w:rsidP="00530DE8">
            <w:pPr>
              <w:pStyle w:val="Tablebody2"/>
            </w:pPr>
          </w:p>
        </w:tc>
      </w:tr>
    </w:tbl>
    <w:p w14:paraId="62DC20BC" w14:textId="6D5202CA" w:rsidR="00AE2113" w:rsidRPr="00D72866" w:rsidRDefault="00AE2113" w:rsidP="00AE2113">
      <w:pPr>
        <w:pStyle w:val="Heading1"/>
      </w:pPr>
      <w:r>
        <w:lastRenderedPageBreak/>
        <w:t>Dealing with health and safety sensitively</w:t>
      </w:r>
    </w:p>
    <w:p w14:paraId="2D64195F" w14:textId="6D2BF461" w:rsidR="00472FA7" w:rsidRPr="008D6CD0" w:rsidRDefault="00472FA7" w:rsidP="008D6CD0">
      <w:pPr>
        <w:spacing w:line="240" w:lineRule="auto"/>
      </w:pPr>
      <w:r>
        <w:t>Before teaching, it is important to recognise that conversations about health and safety may act as a trigger for a student(s), or you as a teacher. Examples are shown in the table below.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6187"/>
      </w:tblGrid>
      <w:tr w:rsidR="00472FA7" w14:paraId="36623E12" w14:textId="77777777" w:rsidTr="002401A0">
        <w:tc>
          <w:tcPr>
            <w:tcW w:w="2880" w:type="dxa"/>
          </w:tcPr>
          <w:p w14:paraId="742E2A4D" w14:textId="77777777" w:rsidR="00472FA7" w:rsidRDefault="00472FA7" w:rsidP="00530DE8">
            <w:pPr>
              <w:pStyle w:val="Tablehead2"/>
            </w:pPr>
            <w:r>
              <w:t>Trigger factor</w:t>
            </w:r>
          </w:p>
        </w:tc>
        <w:tc>
          <w:tcPr>
            <w:tcW w:w="6187" w:type="dxa"/>
          </w:tcPr>
          <w:p w14:paraId="2A19AF2E" w14:textId="77777777" w:rsidR="00472FA7" w:rsidRDefault="00472FA7" w:rsidP="00530DE8">
            <w:pPr>
              <w:pStyle w:val="Tablehead2"/>
            </w:pPr>
            <w:r>
              <w:t xml:space="preserve">Reason for trigger </w:t>
            </w:r>
          </w:p>
        </w:tc>
      </w:tr>
      <w:tr w:rsidR="00472FA7" w14:paraId="2F8486B6" w14:textId="77777777" w:rsidTr="002401A0">
        <w:trPr>
          <w:trHeight w:val="629"/>
        </w:trPr>
        <w:tc>
          <w:tcPr>
            <w:tcW w:w="2880" w:type="dxa"/>
          </w:tcPr>
          <w:p w14:paraId="71F40184" w14:textId="77777777" w:rsidR="00472FA7" w:rsidRDefault="00472FA7" w:rsidP="00530DE8">
            <w:pPr>
              <w:pStyle w:val="Tablebody2"/>
            </w:pPr>
            <w:r>
              <w:t>Past accidents or trauma</w:t>
            </w:r>
          </w:p>
        </w:tc>
        <w:tc>
          <w:tcPr>
            <w:tcW w:w="6187" w:type="dxa"/>
          </w:tcPr>
          <w:p w14:paraId="38EB2202" w14:textId="77777777" w:rsidR="00472FA7" w:rsidRDefault="00472FA7" w:rsidP="00530DE8">
            <w:pPr>
              <w:pStyle w:val="Tablebody2"/>
            </w:pPr>
            <w:r>
              <w:t>Discussion of risks or injuries can cause memories of previous incidents to resurface.</w:t>
            </w:r>
          </w:p>
        </w:tc>
      </w:tr>
      <w:tr w:rsidR="00472FA7" w14:paraId="1A29B710" w14:textId="77777777" w:rsidTr="002401A0">
        <w:tc>
          <w:tcPr>
            <w:tcW w:w="2880" w:type="dxa"/>
          </w:tcPr>
          <w:p w14:paraId="0A30C1BF" w14:textId="77777777" w:rsidR="00472FA7" w:rsidRDefault="00472FA7" w:rsidP="00530DE8">
            <w:pPr>
              <w:pStyle w:val="Tablebody2"/>
            </w:pPr>
            <w:r>
              <w:t>Personal loss</w:t>
            </w:r>
          </w:p>
        </w:tc>
        <w:tc>
          <w:tcPr>
            <w:tcW w:w="6187" w:type="dxa"/>
          </w:tcPr>
          <w:p w14:paraId="0B8576C2" w14:textId="77777777" w:rsidR="00472FA7" w:rsidRDefault="00472FA7" w:rsidP="00530DE8">
            <w:pPr>
              <w:pStyle w:val="Tablebody2"/>
            </w:pPr>
            <w:r>
              <w:t>References to fatalities or injuries can remind individuals of losing a loved one or colleague.</w:t>
            </w:r>
          </w:p>
        </w:tc>
      </w:tr>
      <w:tr w:rsidR="00472FA7" w14:paraId="3C33F312" w14:textId="77777777" w:rsidTr="002401A0">
        <w:tc>
          <w:tcPr>
            <w:tcW w:w="2880" w:type="dxa"/>
          </w:tcPr>
          <w:p w14:paraId="4D609855" w14:textId="77777777" w:rsidR="00472FA7" w:rsidRDefault="00472FA7" w:rsidP="00530DE8">
            <w:pPr>
              <w:pStyle w:val="Tablebody2"/>
            </w:pPr>
            <w:r>
              <w:t>Anxiety about personal safety</w:t>
            </w:r>
          </w:p>
        </w:tc>
        <w:tc>
          <w:tcPr>
            <w:tcW w:w="6187" w:type="dxa"/>
          </w:tcPr>
          <w:p w14:paraId="0DC0E593" w14:textId="77777777" w:rsidR="00472FA7" w:rsidRDefault="00472FA7" w:rsidP="00530DE8">
            <w:pPr>
              <w:pStyle w:val="Tablebody2"/>
            </w:pPr>
            <w:r>
              <w:t>Worst-case scenarios in health and safety can be overwhelming or frightening.</w:t>
            </w:r>
          </w:p>
        </w:tc>
      </w:tr>
      <w:tr w:rsidR="00472FA7" w14:paraId="4689B276" w14:textId="77777777" w:rsidTr="002401A0">
        <w:tc>
          <w:tcPr>
            <w:tcW w:w="2880" w:type="dxa"/>
          </w:tcPr>
          <w:p w14:paraId="3000DBFF" w14:textId="77777777" w:rsidR="00472FA7" w:rsidRDefault="00472FA7" w:rsidP="00530DE8">
            <w:pPr>
              <w:pStyle w:val="Tablebody2"/>
            </w:pPr>
            <w:r>
              <w:t>Threat to sense of competence</w:t>
            </w:r>
          </w:p>
        </w:tc>
        <w:tc>
          <w:tcPr>
            <w:tcW w:w="6187" w:type="dxa"/>
          </w:tcPr>
          <w:p w14:paraId="2C04930A" w14:textId="77777777" w:rsidR="00472FA7" w:rsidRDefault="00472FA7" w:rsidP="00530DE8">
            <w:pPr>
              <w:pStyle w:val="Tablebody2"/>
            </w:pPr>
            <w:r>
              <w:t>Individuals may fear being judged or making mistakes that could cause harm.</w:t>
            </w:r>
          </w:p>
        </w:tc>
      </w:tr>
      <w:tr w:rsidR="00472FA7" w14:paraId="3C38F00C" w14:textId="77777777" w:rsidTr="002401A0">
        <w:tc>
          <w:tcPr>
            <w:tcW w:w="2880" w:type="dxa"/>
          </w:tcPr>
          <w:p w14:paraId="2B902BD0" w14:textId="77777777" w:rsidR="00472FA7" w:rsidRDefault="00472FA7" w:rsidP="00530DE8">
            <w:pPr>
              <w:pStyle w:val="Tablebody2"/>
            </w:pPr>
            <w:r>
              <w:t>Previous blame or disciplinary experiences</w:t>
            </w:r>
          </w:p>
        </w:tc>
        <w:tc>
          <w:tcPr>
            <w:tcW w:w="6187" w:type="dxa"/>
          </w:tcPr>
          <w:p w14:paraId="54EDA753" w14:textId="77777777" w:rsidR="00472FA7" w:rsidRDefault="00472FA7" w:rsidP="00530DE8">
            <w:pPr>
              <w:pStyle w:val="Tablebody2"/>
            </w:pPr>
            <w:r>
              <w:t>Past incidents where blame was attributed can generate fear or shame.</w:t>
            </w:r>
          </w:p>
        </w:tc>
      </w:tr>
      <w:tr w:rsidR="00472FA7" w14:paraId="7E5DC740" w14:textId="77777777" w:rsidTr="002401A0">
        <w:tc>
          <w:tcPr>
            <w:tcW w:w="2880" w:type="dxa"/>
          </w:tcPr>
          <w:p w14:paraId="6F5DCE7A" w14:textId="77777777" w:rsidR="00472FA7" w:rsidRDefault="00472FA7" w:rsidP="00530DE8">
            <w:pPr>
              <w:pStyle w:val="Tablebody2"/>
            </w:pPr>
            <w:r>
              <w:t>Cultural or family memories</w:t>
            </w:r>
          </w:p>
        </w:tc>
        <w:tc>
          <w:tcPr>
            <w:tcW w:w="6187" w:type="dxa"/>
          </w:tcPr>
          <w:p w14:paraId="7CC72184" w14:textId="77777777" w:rsidR="00472FA7" w:rsidRDefault="00472FA7" w:rsidP="00530DE8">
            <w:pPr>
              <w:pStyle w:val="Tablebody2"/>
            </w:pPr>
            <w:r>
              <w:t>Those raised around high-risk work may associate safety discussions with past family trauma or emergencies.</w:t>
            </w:r>
          </w:p>
        </w:tc>
      </w:tr>
      <w:tr w:rsidR="00472FA7" w14:paraId="3AA364E5" w14:textId="77777777" w:rsidTr="002401A0">
        <w:tc>
          <w:tcPr>
            <w:tcW w:w="2880" w:type="dxa"/>
          </w:tcPr>
          <w:p w14:paraId="6EB1DDA8" w14:textId="77777777" w:rsidR="00472FA7" w:rsidRDefault="00472FA7" w:rsidP="00530DE8">
            <w:pPr>
              <w:pStyle w:val="Tablebody2"/>
            </w:pPr>
            <w:r>
              <w:t>Health-related fears</w:t>
            </w:r>
          </w:p>
        </w:tc>
        <w:tc>
          <w:tcPr>
            <w:tcW w:w="6187" w:type="dxa"/>
          </w:tcPr>
          <w:p w14:paraId="3891562A" w14:textId="77777777" w:rsidR="00472FA7" w:rsidRDefault="00472FA7" w:rsidP="00530DE8">
            <w:pPr>
              <w:pStyle w:val="Tablebody2"/>
            </w:pPr>
            <w:r>
              <w:t>Topics involving illness, long-term harm, or exposure risks can trigger health anxiety.</w:t>
            </w:r>
          </w:p>
        </w:tc>
      </w:tr>
      <w:tr w:rsidR="00472FA7" w14:paraId="498C37F4" w14:textId="77777777" w:rsidTr="002401A0">
        <w:tc>
          <w:tcPr>
            <w:tcW w:w="2880" w:type="dxa"/>
          </w:tcPr>
          <w:p w14:paraId="296284A7" w14:textId="77777777" w:rsidR="00472FA7" w:rsidRDefault="00472FA7" w:rsidP="00530DE8">
            <w:pPr>
              <w:pStyle w:val="Tablebody2"/>
            </w:pPr>
            <w:r>
              <w:t>Distressing language</w:t>
            </w:r>
          </w:p>
        </w:tc>
        <w:tc>
          <w:tcPr>
            <w:tcW w:w="6187" w:type="dxa"/>
          </w:tcPr>
          <w:p w14:paraId="4387BDE1" w14:textId="77777777" w:rsidR="00472FA7" w:rsidRDefault="00472FA7" w:rsidP="00530DE8">
            <w:pPr>
              <w:pStyle w:val="Tablebody2"/>
            </w:pPr>
            <w:r>
              <w:t>Strong terms like 'fatal', 'catastrophic', or 'severe injury' can cause emotional distress.</w:t>
            </w:r>
          </w:p>
        </w:tc>
      </w:tr>
    </w:tbl>
    <w:p w14:paraId="234B75F7" w14:textId="77777777" w:rsidR="00472FA7" w:rsidRDefault="00472FA7" w:rsidP="00472FA7">
      <w:pPr>
        <w:spacing w:after="0" w:line="240" w:lineRule="auto"/>
      </w:pPr>
    </w:p>
    <w:p w14:paraId="20F954E8" w14:textId="77777777" w:rsidR="00472FA7" w:rsidRDefault="00472FA7" w:rsidP="00530DE8">
      <w:r>
        <w:t xml:space="preserve">Consider starting sessions with an ‘advance warning’ to check student readiness. For example, </w:t>
      </w:r>
      <w:r w:rsidRPr="00530DE8">
        <w:rPr>
          <w:i/>
          <w:iCs/>
        </w:rPr>
        <w:t>‘We’ll be talking about accidents and injuries. If anyone needs a break or wants to step out, that’s absolutely fine.’</w:t>
      </w:r>
    </w:p>
    <w:p w14:paraId="6DCFBA4B" w14:textId="5592C826" w:rsidR="00472FA7" w:rsidRDefault="00472FA7" w:rsidP="00530DE8">
      <w:r>
        <w:t>During sessions, encourage questions, be observant of possible signs of distress and use real examples carefully and sensitively.</w:t>
      </w:r>
    </w:p>
    <w:p w14:paraId="63600363" w14:textId="28582DF5" w:rsidR="00472FA7" w:rsidRPr="00D72866" w:rsidRDefault="00AE2113" w:rsidP="00AE2113">
      <w:pPr>
        <w:pStyle w:val="Heading1"/>
      </w:pPr>
      <w:r>
        <w:t>Improving engagement with role plays</w:t>
      </w:r>
    </w:p>
    <w:p w14:paraId="756ED051" w14:textId="77777777" w:rsidR="00472FA7" w:rsidRDefault="00472FA7" w:rsidP="00530DE8">
      <w:r>
        <w:t>There are numerous reasons why role-play activities can be challenging for students to engage with: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44"/>
      </w:tblGrid>
      <w:tr w:rsidR="00472FA7" w14:paraId="5350B73F" w14:textId="77777777" w:rsidTr="002401A0">
        <w:trPr>
          <w:tblHeader/>
        </w:trPr>
        <w:tc>
          <w:tcPr>
            <w:tcW w:w="2972" w:type="dxa"/>
            <w:vAlign w:val="center"/>
          </w:tcPr>
          <w:p w14:paraId="373AAE16" w14:textId="77777777" w:rsidR="00472FA7" w:rsidRPr="00530DE8" w:rsidRDefault="00472FA7" w:rsidP="00530DE8">
            <w:pPr>
              <w:pStyle w:val="Tablehead2"/>
            </w:pPr>
            <w:r w:rsidRPr="00530DE8">
              <w:t>Reason</w:t>
            </w:r>
          </w:p>
        </w:tc>
        <w:tc>
          <w:tcPr>
            <w:tcW w:w="6044" w:type="dxa"/>
            <w:vAlign w:val="center"/>
          </w:tcPr>
          <w:p w14:paraId="613542CE" w14:textId="77777777" w:rsidR="00472FA7" w:rsidRPr="00530DE8" w:rsidRDefault="00472FA7" w:rsidP="00530DE8">
            <w:pPr>
              <w:pStyle w:val="Tablehead2"/>
            </w:pPr>
            <w:r w:rsidRPr="00530DE8">
              <w:t>Underlying reason</w:t>
            </w:r>
          </w:p>
        </w:tc>
      </w:tr>
      <w:tr w:rsidR="00472FA7" w14:paraId="2C1DFD59" w14:textId="77777777" w:rsidTr="002401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2C0A1" w14:textId="77777777" w:rsidR="00472FA7" w:rsidRPr="00BC39E3" w:rsidRDefault="00472FA7" w:rsidP="002401A0">
            <w:pPr>
              <w:pStyle w:val="Tablebody2"/>
              <w:ind w:left="117"/>
            </w:pPr>
            <w:r w:rsidRPr="00BC39E3">
              <w:t>Embarrassment / self-consciousness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CB09" w14:textId="77777777" w:rsidR="00472FA7" w:rsidRPr="00BC39E3" w:rsidRDefault="00472FA7" w:rsidP="002401A0">
            <w:pPr>
              <w:pStyle w:val="Tablebody2"/>
              <w:ind w:left="126"/>
            </w:pPr>
            <w:r w:rsidRPr="00ED71C2">
              <w:t>Students feel uncomfortable performing in front of peers and fear being judged.</w:t>
            </w:r>
          </w:p>
        </w:tc>
      </w:tr>
      <w:tr w:rsidR="00472FA7" w14:paraId="63B3D48F" w14:textId="77777777" w:rsidTr="002401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D1A73" w14:textId="77777777" w:rsidR="00472FA7" w:rsidRPr="00BC39E3" w:rsidRDefault="00472FA7" w:rsidP="002401A0">
            <w:pPr>
              <w:pStyle w:val="Tablebody2"/>
              <w:ind w:left="117"/>
            </w:pPr>
            <w:r w:rsidRPr="00BC39E3">
              <w:t>Unclear purpose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C5C75" w14:textId="77777777" w:rsidR="00472FA7" w:rsidRPr="00BC39E3" w:rsidRDefault="00472FA7" w:rsidP="002401A0">
            <w:pPr>
              <w:pStyle w:val="Tablebody2"/>
              <w:ind w:left="126"/>
            </w:pPr>
            <w:r w:rsidRPr="00BC39E3">
              <w:t>Students don’t understand why they are doing role play or how it links to assessments/workplace practice.</w:t>
            </w:r>
          </w:p>
        </w:tc>
      </w:tr>
      <w:tr w:rsidR="00472FA7" w14:paraId="062B0427" w14:textId="77777777" w:rsidTr="002401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E6CE9" w14:textId="77777777" w:rsidR="00472FA7" w:rsidRPr="00BC39E3" w:rsidRDefault="00472FA7" w:rsidP="002401A0">
            <w:pPr>
              <w:pStyle w:val="Tablebody2"/>
              <w:ind w:left="117"/>
            </w:pPr>
            <w:r w:rsidRPr="00BC39E3">
              <w:lastRenderedPageBreak/>
              <w:t>Lack of confidence in content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4DCE4" w14:textId="77777777" w:rsidR="00472FA7" w:rsidRPr="00BC39E3" w:rsidRDefault="00472FA7" w:rsidP="002401A0">
            <w:pPr>
              <w:pStyle w:val="Tablebody2"/>
              <w:ind w:left="126"/>
            </w:pPr>
            <w:r w:rsidRPr="00BC39E3">
              <w:t>Students worry they don’t know enough about the topic (e.g., legislation, hazards).</w:t>
            </w:r>
          </w:p>
        </w:tc>
      </w:tr>
      <w:tr w:rsidR="00472FA7" w14:paraId="3B7BFBA9" w14:textId="77777777" w:rsidTr="002401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B002B" w14:textId="77777777" w:rsidR="00472FA7" w:rsidRPr="00BC39E3" w:rsidRDefault="00472FA7" w:rsidP="002401A0">
            <w:pPr>
              <w:pStyle w:val="Tablebody2"/>
              <w:ind w:left="117"/>
            </w:pPr>
            <w:r w:rsidRPr="00BC39E3">
              <w:t>Discomfort with unfamiliar roles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24DB5" w14:textId="77777777" w:rsidR="00472FA7" w:rsidRPr="00BC39E3" w:rsidRDefault="00472FA7" w:rsidP="002401A0">
            <w:pPr>
              <w:pStyle w:val="Tablebody2"/>
              <w:ind w:left="126"/>
            </w:pPr>
            <w:r w:rsidRPr="00BC39E3">
              <w:t>Acting as an inspector, manager or witness feels unrealistic or intimidating.</w:t>
            </w:r>
          </w:p>
        </w:tc>
      </w:tr>
      <w:tr w:rsidR="00472FA7" w14:paraId="7779A11A" w14:textId="77777777" w:rsidTr="002401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533F" w14:textId="77777777" w:rsidR="00472FA7" w:rsidRPr="00BC39E3" w:rsidRDefault="00472FA7" w:rsidP="002401A0">
            <w:pPr>
              <w:pStyle w:val="Tablebody2"/>
              <w:ind w:left="117"/>
            </w:pPr>
            <w:r w:rsidRPr="00BC39E3">
              <w:t>Group dynamics issues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4AFD" w14:textId="77777777" w:rsidR="00472FA7" w:rsidRPr="00BC39E3" w:rsidRDefault="00472FA7" w:rsidP="002401A0">
            <w:pPr>
              <w:pStyle w:val="Tablebody2"/>
              <w:ind w:left="126"/>
            </w:pPr>
            <w:r w:rsidRPr="00BC39E3">
              <w:t>Dominant peers, reluctant peers, friendship groups or quiet students reduce engagement.</w:t>
            </w:r>
          </w:p>
        </w:tc>
      </w:tr>
      <w:tr w:rsidR="00472FA7" w14:paraId="05D00BC8" w14:textId="77777777" w:rsidTr="002401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5071" w14:textId="77777777" w:rsidR="00472FA7" w:rsidRPr="00BC39E3" w:rsidRDefault="00472FA7" w:rsidP="002401A0">
            <w:pPr>
              <w:pStyle w:val="Tablebody2"/>
              <w:ind w:left="117"/>
            </w:pPr>
            <w:r w:rsidRPr="00BC39E3">
              <w:t>Negative past experiences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8CB68" w14:textId="77777777" w:rsidR="00472FA7" w:rsidRPr="00BC39E3" w:rsidRDefault="00472FA7" w:rsidP="002401A0">
            <w:pPr>
              <w:pStyle w:val="Tablebody2"/>
              <w:ind w:left="126"/>
            </w:pPr>
            <w:r w:rsidRPr="00BC39E3">
              <w:t>Previous awkward or forced role</w:t>
            </w:r>
            <w:r>
              <w:t>-</w:t>
            </w:r>
            <w:r w:rsidRPr="00BC39E3">
              <w:t>play activities discourage participation.</w:t>
            </w:r>
          </w:p>
        </w:tc>
      </w:tr>
    </w:tbl>
    <w:p w14:paraId="1960B793" w14:textId="77777777" w:rsidR="00472FA7" w:rsidRDefault="00472FA7" w:rsidP="00472FA7">
      <w:pPr>
        <w:spacing w:after="0" w:line="240" w:lineRule="auto"/>
      </w:pPr>
    </w:p>
    <w:p w14:paraId="2E6F338F" w14:textId="77777777" w:rsidR="00472FA7" w:rsidRDefault="00472FA7" w:rsidP="00472FA7">
      <w:r>
        <w:t>Consider using the following teaching strategies to support students:</w:t>
      </w:r>
      <w:r w:rsidDel="0093392A">
        <w:t xml:space="preserve"> </w:t>
      </w:r>
    </w:p>
    <w:tbl>
      <w:tblPr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54"/>
      </w:tblGrid>
      <w:tr w:rsidR="00472FA7" w14:paraId="2EA65ADC" w14:textId="77777777" w:rsidTr="002401A0">
        <w:trPr>
          <w:trHeight w:val="368"/>
        </w:trPr>
        <w:tc>
          <w:tcPr>
            <w:tcW w:w="2972" w:type="dxa"/>
          </w:tcPr>
          <w:p w14:paraId="7B19AE6A" w14:textId="77777777" w:rsidR="00472FA7" w:rsidRPr="00530DE8" w:rsidRDefault="00472FA7" w:rsidP="00530DE8">
            <w:pPr>
              <w:pStyle w:val="Tablehead2"/>
            </w:pPr>
            <w:r w:rsidRPr="00530DE8">
              <w:t>Teaching strategy</w:t>
            </w:r>
          </w:p>
        </w:tc>
        <w:tc>
          <w:tcPr>
            <w:tcW w:w="6054" w:type="dxa"/>
          </w:tcPr>
          <w:p w14:paraId="234524ED" w14:textId="77777777" w:rsidR="00472FA7" w:rsidRPr="00530DE8" w:rsidRDefault="00472FA7" w:rsidP="00530DE8">
            <w:pPr>
              <w:pStyle w:val="Tablehead2"/>
            </w:pPr>
            <w:r w:rsidRPr="00530DE8">
              <w:t>Examples</w:t>
            </w:r>
          </w:p>
        </w:tc>
      </w:tr>
      <w:tr w:rsidR="00472FA7" w14:paraId="797076D5" w14:textId="77777777" w:rsidTr="002401A0">
        <w:tc>
          <w:tcPr>
            <w:tcW w:w="2972" w:type="dxa"/>
          </w:tcPr>
          <w:p w14:paraId="3EF87DB1" w14:textId="77777777" w:rsidR="00472FA7" w:rsidRPr="00530DE8" w:rsidRDefault="00472FA7" w:rsidP="00530DE8">
            <w:pPr>
              <w:pStyle w:val="Tablebody2"/>
            </w:pPr>
            <w:r w:rsidRPr="00530DE8">
              <w:t>Use low-pressure warm-ups</w:t>
            </w:r>
          </w:p>
        </w:tc>
        <w:tc>
          <w:tcPr>
            <w:tcW w:w="6054" w:type="dxa"/>
          </w:tcPr>
          <w:p w14:paraId="5DFACBFC" w14:textId="77777777" w:rsidR="00472FA7" w:rsidRPr="00530DE8" w:rsidRDefault="00472FA7" w:rsidP="00530DE8">
            <w:pPr>
              <w:pStyle w:val="Tablebody2"/>
            </w:pPr>
            <w:r w:rsidRPr="00530DE8">
              <w:t>Start with short, simple paired tasks before full role play, to reduce anxiety.</w:t>
            </w:r>
          </w:p>
        </w:tc>
      </w:tr>
      <w:tr w:rsidR="00472FA7" w14:paraId="5362D8FB" w14:textId="77777777" w:rsidTr="002401A0">
        <w:tc>
          <w:tcPr>
            <w:tcW w:w="2972" w:type="dxa"/>
          </w:tcPr>
          <w:p w14:paraId="6A8BC5FB" w14:textId="77777777" w:rsidR="00472FA7" w:rsidRPr="00530DE8" w:rsidRDefault="00472FA7" w:rsidP="00530DE8">
            <w:pPr>
              <w:pStyle w:val="Tablebody2"/>
            </w:pPr>
            <w:r w:rsidRPr="00530DE8">
              <w:t>Explain the purpose clearly</w:t>
            </w:r>
          </w:p>
        </w:tc>
        <w:tc>
          <w:tcPr>
            <w:tcW w:w="6054" w:type="dxa"/>
          </w:tcPr>
          <w:p w14:paraId="0F373116" w14:textId="77777777" w:rsidR="00472FA7" w:rsidRPr="00530DE8" w:rsidRDefault="00472FA7" w:rsidP="00530DE8">
            <w:pPr>
              <w:pStyle w:val="Tablebody2"/>
            </w:pPr>
            <w:r w:rsidRPr="00530DE8">
              <w:t>Show how role play links to T Level assessments and real workplace communication.</w:t>
            </w:r>
          </w:p>
        </w:tc>
      </w:tr>
      <w:tr w:rsidR="00472FA7" w14:paraId="74894BCE" w14:textId="77777777" w:rsidTr="002401A0">
        <w:tc>
          <w:tcPr>
            <w:tcW w:w="2972" w:type="dxa"/>
          </w:tcPr>
          <w:p w14:paraId="122AF3AC" w14:textId="77777777" w:rsidR="00472FA7" w:rsidRPr="00530DE8" w:rsidRDefault="00472FA7" w:rsidP="00530DE8">
            <w:pPr>
              <w:pStyle w:val="Tablebody2"/>
            </w:pPr>
            <w:r w:rsidRPr="00530DE8">
              <w:t>Provide scaffolds</w:t>
            </w:r>
          </w:p>
        </w:tc>
        <w:tc>
          <w:tcPr>
            <w:tcW w:w="6054" w:type="dxa"/>
          </w:tcPr>
          <w:p w14:paraId="14D2C2D6" w14:textId="77777777" w:rsidR="00472FA7" w:rsidRPr="00530DE8" w:rsidRDefault="00472FA7" w:rsidP="00530DE8">
            <w:pPr>
              <w:pStyle w:val="Tablebody2"/>
            </w:pPr>
            <w:r w:rsidRPr="00530DE8">
              <w:t>Offer prompt cards, question starters, scenario sheets and structure so students feel prepared.</w:t>
            </w:r>
          </w:p>
        </w:tc>
      </w:tr>
      <w:tr w:rsidR="00472FA7" w14:paraId="3B819980" w14:textId="77777777" w:rsidTr="002401A0">
        <w:tc>
          <w:tcPr>
            <w:tcW w:w="2972" w:type="dxa"/>
          </w:tcPr>
          <w:p w14:paraId="522E034A" w14:textId="77777777" w:rsidR="00472FA7" w:rsidRPr="00530DE8" w:rsidRDefault="00472FA7" w:rsidP="00530DE8">
            <w:pPr>
              <w:pStyle w:val="Tablebody2"/>
            </w:pPr>
            <w:r w:rsidRPr="00530DE8">
              <w:t>Give students choice</w:t>
            </w:r>
          </w:p>
        </w:tc>
        <w:tc>
          <w:tcPr>
            <w:tcW w:w="6054" w:type="dxa"/>
          </w:tcPr>
          <w:p w14:paraId="4A4105A0" w14:textId="77777777" w:rsidR="00472FA7" w:rsidRPr="00530DE8" w:rsidRDefault="00472FA7" w:rsidP="00530DE8">
            <w:pPr>
              <w:pStyle w:val="Tablebody2"/>
            </w:pPr>
            <w:r w:rsidRPr="00530DE8">
              <w:t>Allow choice of roles or scenarios to increase ownership and comfort.</w:t>
            </w:r>
          </w:p>
        </w:tc>
      </w:tr>
      <w:tr w:rsidR="00472FA7" w14:paraId="5B8F7D66" w14:textId="77777777" w:rsidTr="002401A0">
        <w:tc>
          <w:tcPr>
            <w:tcW w:w="2972" w:type="dxa"/>
          </w:tcPr>
          <w:p w14:paraId="75EA9D30" w14:textId="77777777" w:rsidR="00472FA7" w:rsidRPr="00530DE8" w:rsidRDefault="00472FA7" w:rsidP="00530DE8">
            <w:pPr>
              <w:pStyle w:val="Tablebody2"/>
            </w:pPr>
            <w:r w:rsidRPr="00530DE8">
              <w:t>Use small groups or pairs</w:t>
            </w:r>
          </w:p>
        </w:tc>
        <w:tc>
          <w:tcPr>
            <w:tcW w:w="6054" w:type="dxa"/>
          </w:tcPr>
          <w:p w14:paraId="449D2489" w14:textId="77777777" w:rsidR="00472FA7" w:rsidRPr="00530DE8" w:rsidRDefault="00472FA7" w:rsidP="00530DE8">
            <w:pPr>
              <w:pStyle w:val="Tablebody2"/>
            </w:pPr>
            <w:r w:rsidRPr="00530DE8">
              <w:t>Reduces embarrassment and builds confidence in quieter students.</w:t>
            </w:r>
          </w:p>
        </w:tc>
      </w:tr>
      <w:tr w:rsidR="00472FA7" w14:paraId="4A70FCBC" w14:textId="77777777" w:rsidTr="002401A0">
        <w:tc>
          <w:tcPr>
            <w:tcW w:w="2972" w:type="dxa"/>
          </w:tcPr>
          <w:p w14:paraId="2ACAA5E5" w14:textId="77777777" w:rsidR="00472FA7" w:rsidRPr="00530DE8" w:rsidRDefault="00472FA7" w:rsidP="00530DE8">
            <w:pPr>
              <w:pStyle w:val="Tablebody2"/>
            </w:pPr>
            <w:r w:rsidRPr="00530DE8">
              <w:t>Normalise mistakes</w:t>
            </w:r>
          </w:p>
        </w:tc>
        <w:tc>
          <w:tcPr>
            <w:tcW w:w="6054" w:type="dxa"/>
          </w:tcPr>
          <w:p w14:paraId="3B4B14FD" w14:textId="77777777" w:rsidR="00472FA7" w:rsidRPr="00530DE8" w:rsidRDefault="00472FA7" w:rsidP="00530DE8">
            <w:pPr>
              <w:pStyle w:val="Tablebody2"/>
            </w:pPr>
            <w:r w:rsidRPr="00530DE8">
              <w:t>Reinforce that role play is for practice, not perfection.</w:t>
            </w:r>
          </w:p>
        </w:tc>
      </w:tr>
      <w:tr w:rsidR="00472FA7" w14:paraId="16DE54B2" w14:textId="77777777" w:rsidTr="002401A0">
        <w:tc>
          <w:tcPr>
            <w:tcW w:w="2972" w:type="dxa"/>
          </w:tcPr>
          <w:p w14:paraId="6B9C956E" w14:textId="77777777" w:rsidR="00472FA7" w:rsidRPr="00530DE8" w:rsidRDefault="00472FA7" w:rsidP="00530DE8">
            <w:pPr>
              <w:pStyle w:val="Tablebody2"/>
            </w:pPr>
            <w:r w:rsidRPr="00530DE8">
              <w:t>Make scenarios realistic</w:t>
            </w:r>
          </w:p>
        </w:tc>
        <w:tc>
          <w:tcPr>
            <w:tcW w:w="6054" w:type="dxa"/>
          </w:tcPr>
          <w:p w14:paraId="711D94B2" w14:textId="77777777" w:rsidR="00472FA7" w:rsidRPr="00530DE8" w:rsidRDefault="00472FA7" w:rsidP="00530DE8">
            <w:pPr>
              <w:pStyle w:val="Tablebody2"/>
            </w:pPr>
            <w:r w:rsidRPr="00530DE8">
              <w:t>Use authentic industry examples (machinery, near misses, inspectors) to increase relevance.</w:t>
            </w:r>
          </w:p>
        </w:tc>
      </w:tr>
      <w:tr w:rsidR="00472FA7" w14:paraId="15DD7D97" w14:textId="77777777" w:rsidTr="002401A0">
        <w:tc>
          <w:tcPr>
            <w:tcW w:w="2972" w:type="dxa"/>
          </w:tcPr>
          <w:p w14:paraId="6A63F705" w14:textId="77777777" w:rsidR="00472FA7" w:rsidRPr="00530DE8" w:rsidRDefault="00472FA7" w:rsidP="00530DE8">
            <w:pPr>
              <w:pStyle w:val="Tablebody2"/>
            </w:pPr>
            <w:r w:rsidRPr="00530DE8">
              <w:t>Include props or visuals</w:t>
            </w:r>
          </w:p>
        </w:tc>
        <w:tc>
          <w:tcPr>
            <w:tcW w:w="6054" w:type="dxa"/>
          </w:tcPr>
          <w:p w14:paraId="18086A2A" w14:textId="77777777" w:rsidR="00472FA7" w:rsidRPr="00530DE8" w:rsidRDefault="00472FA7" w:rsidP="00530DE8">
            <w:pPr>
              <w:pStyle w:val="Tablebody2"/>
            </w:pPr>
            <w:r w:rsidRPr="00530DE8">
              <w:t>Items like clipboards, PPE or mock forms reduce awkwardness and boost engagement.</w:t>
            </w:r>
          </w:p>
        </w:tc>
      </w:tr>
      <w:tr w:rsidR="00472FA7" w14:paraId="308276D5" w14:textId="77777777" w:rsidTr="002401A0">
        <w:tc>
          <w:tcPr>
            <w:tcW w:w="2972" w:type="dxa"/>
          </w:tcPr>
          <w:p w14:paraId="6D27C366" w14:textId="77777777" w:rsidR="00472FA7" w:rsidRPr="00530DE8" w:rsidRDefault="00472FA7" w:rsidP="00530DE8">
            <w:pPr>
              <w:pStyle w:val="Tablebody2"/>
            </w:pPr>
            <w:r w:rsidRPr="00530DE8">
              <w:t>Provide clear success criteria.</w:t>
            </w:r>
          </w:p>
        </w:tc>
        <w:tc>
          <w:tcPr>
            <w:tcW w:w="6054" w:type="dxa"/>
          </w:tcPr>
          <w:p w14:paraId="29800D14" w14:textId="77777777" w:rsidR="00472FA7" w:rsidRPr="00530DE8" w:rsidRDefault="00472FA7" w:rsidP="00530DE8">
            <w:pPr>
              <w:pStyle w:val="Tablebody2"/>
            </w:pPr>
            <w:r w:rsidRPr="00530DE8">
              <w:t>Tell students exactly what is expected (e.g., ask three open questions, identify hazards).</w:t>
            </w:r>
          </w:p>
        </w:tc>
      </w:tr>
      <w:tr w:rsidR="00472FA7" w14:paraId="4A9E2452" w14:textId="77777777" w:rsidTr="002401A0">
        <w:tc>
          <w:tcPr>
            <w:tcW w:w="2972" w:type="dxa"/>
          </w:tcPr>
          <w:p w14:paraId="1815968F" w14:textId="77777777" w:rsidR="00472FA7" w:rsidRPr="00530DE8" w:rsidRDefault="00472FA7" w:rsidP="00530DE8">
            <w:pPr>
              <w:pStyle w:val="Tablebody2"/>
            </w:pPr>
            <w:r w:rsidRPr="00530DE8">
              <w:t>Give structured feedback.</w:t>
            </w:r>
          </w:p>
        </w:tc>
        <w:tc>
          <w:tcPr>
            <w:tcW w:w="6054" w:type="dxa"/>
          </w:tcPr>
          <w:p w14:paraId="0F3DA2E0" w14:textId="77777777" w:rsidR="00472FA7" w:rsidRPr="00530DE8" w:rsidRDefault="00472FA7" w:rsidP="00530DE8">
            <w:pPr>
              <w:pStyle w:val="Tablebody2"/>
            </w:pPr>
            <w:r w:rsidRPr="00530DE8">
              <w:t>Use peer or self-reflection tools so students feel supported, not judged.</w:t>
            </w:r>
          </w:p>
        </w:tc>
      </w:tr>
    </w:tbl>
    <w:p w14:paraId="662222D3" w14:textId="77777777" w:rsidR="00472FA7" w:rsidRDefault="00472FA7" w:rsidP="00530DE8"/>
    <w:sectPr w:rsidR="00472FA7" w:rsidSect="00472FA7">
      <w:headerReference w:type="default" r:id="rId8"/>
      <w:footerReference w:type="default" r:id="rId9"/>
      <w:pgSz w:w="11906" w:h="16838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61BE" w14:textId="77777777" w:rsidR="00320E98" w:rsidRDefault="00320E98" w:rsidP="000C51BB">
      <w:pPr>
        <w:spacing w:after="0" w:line="240" w:lineRule="auto"/>
      </w:pPr>
      <w:r>
        <w:separator/>
      </w:r>
    </w:p>
  </w:endnote>
  <w:endnote w:type="continuationSeparator" w:id="0">
    <w:p w14:paraId="591B446F" w14:textId="77777777" w:rsidR="00320E98" w:rsidRDefault="00320E98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499E4959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251"/>
                  <w:gridCol w:w="3775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5F589E23" w:rsidR="00031572" w:rsidRDefault="00937AB6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937AB6">
                        <w:rPr>
                          <w:sz w:val="20"/>
                          <w:szCs w:val="20"/>
                        </w:rPr>
                        <w:t>Agriculture, Environmental and Animal Care</w:t>
                      </w:r>
                      <w:r w:rsidR="000638CB">
                        <w:rPr>
                          <w:sz w:val="20"/>
                          <w:szCs w:val="20"/>
                        </w:rPr>
                        <w:t>:</w:t>
                      </w:r>
                      <w:r w:rsidR="0003157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4A5BCB">
                        <w:rPr>
                          <w:noProof/>
                          <w:sz w:val="20"/>
                          <w:szCs w:val="20"/>
                        </w:rPr>
                        <w:t>Health and safety</w:t>
                      </w:r>
                    </w:p>
                  </w:tc>
                </w:tr>
                <w:tr w:rsidR="00031572" w14:paraId="0B53C544" w14:textId="77777777" w:rsidTr="00F65934">
                  <w:tc>
                    <w:tcPr>
                      <w:tcW w:w="2909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7368ED89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4D0C1D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 w:rsidR="004A5BCB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570D" w14:textId="77777777" w:rsidR="00320E98" w:rsidRDefault="00320E98" w:rsidP="000C51BB">
      <w:pPr>
        <w:spacing w:after="0" w:line="240" w:lineRule="auto"/>
      </w:pPr>
      <w:r>
        <w:separator/>
      </w:r>
    </w:p>
  </w:footnote>
  <w:footnote w:type="continuationSeparator" w:id="0">
    <w:p w14:paraId="52C53998" w14:textId="77777777" w:rsidR="00320E98" w:rsidRDefault="00320E98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896"/>
    </w:tblGrid>
    <w:tr w:rsidR="006A42C1" w14:paraId="2035A0CD" w14:textId="77777777" w:rsidTr="00F65934">
      <w:tc>
        <w:tcPr>
          <w:tcW w:w="1180" w:type="pct"/>
          <w:tcBorders>
            <w:bottom w:val="single" w:sz="12" w:space="0" w:color="EEDDDD"/>
          </w:tcBorders>
        </w:tcPr>
        <w:p w14:paraId="43ACD7DC" w14:textId="3DF466F6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3A3ECF10" w14:textId="77777777" w:rsidR="006A42C1" w:rsidRDefault="004A5BCB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Additional teacher guidance</w:t>
          </w:r>
        </w:p>
        <w:p w14:paraId="6FEE335E" w14:textId="656E9DE8" w:rsidR="00BE0A8D" w:rsidRDefault="00BE0A8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C6184350"/>
    <w:lvl w:ilvl="0" w:tplc="B4FA4BA2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  <w:num w:numId="23" w16cid:durableId="1841264305">
    <w:abstractNumId w:val="3"/>
  </w:num>
  <w:num w:numId="24" w16cid:durableId="1686320763">
    <w:abstractNumId w:val="3"/>
  </w:num>
  <w:num w:numId="25" w16cid:durableId="2043095536">
    <w:abstractNumId w:val="3"/>
  </w:num>
  <w:num w:numId="26" w16cid:durableId="1612588869">
    <w:abstractNumId w:val="3"/>
  </w:num>
  <w:num w:numId="27" w16cid:durableId="281687455">
    <w:abstractNumId w:val="3"/>
  </w:num>
  <w:num w:numId="28" w16cid:durableId="1845900270">
    <w:abstractNumId w:val="3"/>
  </w:num>
  <w:num w:numId="29" w16cid:durableId="1068265076">
    <w:abstractNumId w:val="3"/>
  </w:num>
  <w:num w:numId="30" w16cid:durableId="860322239">
    <w:abstractNumId w:val="3"/>
  </w:num>
  <w:num w:numId="31" w16cid:durableId="2007047467">
    <w:abstractNumId w:val="3"/>
  </w:num>
  <w:num w:numId="32" w16cid:durableId="1380588999">
    <w:abstractNumId w:val="3"/>
  </w:num>
  <w:num w:numId="33" w16cid:durableId="1305743857">
    <w:abstractNumId w:val="3"/>
  </w:num>
  <w:num w:numId="34" w16cid:durableId="1091509581">
    <w:abstractNumId w:val="3"/>
  </w:num>
  <w:num w:numId="35" w16cid:durableId="366217201">
    <w:abstractNumId w:val="3"/>
  </w:num>
  <w:num w:numId="36" w16cid:durableId="1123160021">
    <w:abstractNumId w:val="3"/>
  </w:num>
  <w:num w:numId="37" w16cid:durableId="1929926035">
    <w:abstractNumId w:val="3"/>
  </w:num>
  <w:num w:numId="38" w16cid:durableId="795493664">
    <w:abstractNumId w:val="3"/>
  </w:num>
  <w:num w:numId="39" w16cid:durableId="34233435">
    <w:abstractNumId w:val="3"/>
  </w:num>
  <w:num w:numId="40" w16cid:durableId="2110419657">
    <w:abstractNumId w:val="3"/>
  </w:num>
  <w:num w:numId="41" w16cid:durableId="463156452">
    <w:abstractNumId w:val="3"/>
  </w:num>
  <w:num w:numId="42" w16cid:durableId="1884705782">
    <w:abstractNumId w:val="3"/>
  </w:num>
  <w:num w:numId="43" w16cid:durableId="496307421">
    <w:abstractNumId w:val="3"/>
  </w:num>
  <w:num w:numId="44" w16cid:durableId="293605511">
    <w:abstractNumId w:val="3"/>
  </w:num>
  <w:num w:numId="45" w16cid:durableId="374014410">
    <w:abstractNumId w:val="3"/>
  </w:num>
  <w:num w:numId="46" w16cid:durableId="310528453">
    <w:abstractNumId w:val="3"/>
  </w:num>
  <w:num w:numId="47" w16cid:durableId="1971551213">
    <w:abstractNumId w:val="3"/>
  </w:num>
  <w:num w:numId="48" w16cid:durableId="753360001">
    <w:abstractNumId w:val="3"/>
  </w:num>
  <w:num w:numId="49" w16cid:durableId="358431980">
    <w:abstractNumId w:val="3"/>
  </w:num>
  <w:num w:numId="50" w16cid:durableId="179798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SzNDYzNjYyMjMwN7NQ0lEKTi0uzszPAykwqgUAwCW7SCwAAAA="/>
  </w:docVars>
  <w:rsids>
    <w:rsidRoot w:val="000C51BB"/>
    <w:rsid w:val="000105AB"/>
    <w:rsid w:val="00011760"/>
    <w:rsid w:val="000268FA"/>
    <w:rsid w:val="00031572"/>
    <w:rsid w:val="000361B9"/>
    <w:rsid w:val="00041B75"/>
    <w:rsid w:val="00041F60"/>
    <w:rsid w:val="000470E0"/>
    <w:rsid w:val="000638CB"/>
    <w:rsid w:val="0006706F"/>
    <w:rsid w:val="00083A47"/>
    <w:rsid w:val="000A319C"/>
    <w:rsid w:val="000B2354"/>
    <w:rsid w:val="000C51BB"/>
    <w:rsid w:val="000D113C"/>
    <w:rsid w:val="000F0146"/>
    <w:rsid w:val="000F2E65"/>
    <w:rsid w:val="000F432F"/>
    <w:rsid w:val="00117BD1"/>
    <w:rsid w:val="00131BD6"/>
    <w:rsid w:val="001409B0"/>
    <w:rsid w:val="00142E67"/>
    <w:rsid w:val="0015537E"/>
    <w:rsid w:val="00156CC7"/>
    <w:rsid w:val="0015738A"/>
    <w:rsid w:val="0016745C"/>
    <w:rsid w:val="00180C45"/>
    <w:rsid w:val="001D637C"/>
    <w:rsid w:val="001E1893"/>
    <w:rsid w:val="001F2FE1"/>
    <w:rsid w:val="00215D2E"/>
    <w:rsid w:val="00225715"/>
    <w:rsid w:val="002547B3"/>
    <w:rsid w:val="002A167A"/>
    <w:rsid w:val="002C07C6"/>
    <w:rsid w:val="002C7D5F"/>
    <w:rsid w:val="002D46E3"/>
    <w:rsid w:val="00300588"/>
    <w:rsid w:val="00310272"/>
    <w:rsid w:val="00320E98"/>
    <w:rsid w:val="00345A04"/>
    <w:rsid w:val="00377A27"/>
    <w:rsid w:val="003A4BF3"/>
    <w:rsid w:val="003A6224"/>
    <w:rsid w:val="003B319C"/>
    <w:rsid w:val="003D46AC"/>
    <w:rsid w:val="003F01DF"/>
    <w:rsid w:val="003F2915"/>
    <w:rsid w:val="003F43E8"/>
    <w:rsid w:val="003F6C5E"/>
    <w:rsid w:val="00445C22"/>
    <w:rsid w:val="00454611"/>
    <w:rsid w:val="004635D4"/>
    <w:rsid w:val="00464106"/>
    <w:rsid w:val="00472FA7"/>
    <w:rsid w:val="0048092F"/>
    <w:rsid w:val="004A5BCB"/>
    <w:rsid w:val="004D0C1D"/>
    <w:rsid w:val="004F4859"/>
    <w:rsid w:val="004F58B3"/>
    <w:rsid w:val="00530DE8"/>
    <w:rsid w:val="005369B8"/>
    <w:rsid w:val="005752DE"/>
    <w:rsid w:val="005873B4"/>
    <w:rsid w:val="00612513"/>
    <w:rsid w:val="00634C07"/>
    <w:rsid w:val="00670A30"/>
    <w:rsid w:val="006965DE"/>
    <w:rsid w:val="006A42C1"/>
    <w:rsid w:val="006B5E43"/>
    <w:rsid w:val="006D0E51"/>
    <w:rsid w:val="006D1E35"/>
    <w:rsid w:val="006E4C61"/>
    <w:rsid w:val="006F4FF7"/>
    <w:rsid w:val="00706B6D"/>
    <w:rsid w:val="00731E26"/>
    <w:rsid w:val="00750697"/>
    <w:rsid w:val="00770D34"/>
    <w:rsid w:val="00773A05"/>
    <w:rsid w:val="007B3C00"/>
    <w:rsid w:val="007B5294"/>
    <w:rsid w:val="007D158B"/>
    <w:rsid w:val="0081488A"/>
    <w:rsid w:val="00861AC4"/>
    <w:rsid w:val="00862C5D"/>
    <w:rsid w:val="00891891"/>
    <w:rsid w:val="008D6CD0"/>
    <w:rsid w:val="008E7C66"/>
    <w:rsid w:val="00901212"/>
    <w:rsid w:val="00936864"/>
    <w:rsid w:val="00937AB6"/>
    <w:rsid w:val="0094470F"/>
    <w:rsid w:val="0099395B"/>
    <w:rsid w:val="009A4B65"/>
    <w:rsid w:val="009C39D1"/>
    <w:rsid w:val="00A04F3A"/>
    <w:rsid w:val="00A13C44"/>
    <w:rsid w:val="00A30233"/>
    <w:rsid w:val="00A826BF"/>
    <w:rsid w:val="00A82755"/>
    <w:rsid w:val="00A91CEC"/>
    <w:rsid w:val="00AB0EBC"/>
    <w:rsid w:val="00AE2113"/>
    <w:rsid w:val="00B257C1"/>
    <w:rsid w:val="00B25EA2"/>
    <w:rsid w:val="00B43BA8"/>
    <w:rsid w:val="00B601A7"/>
    <w:rsid w:val="00B77561"/>
    <w:rsid w:val="00BA6F3A"/>
    <w:rsid w:val="00BD42DD"/>
    <w:rsid w:val="00BE0A8D"/>
    <w:rsid w:val="00C348E4"/>
    <w:rsid w:val="00C44A40"/>
    <w:rsid w:val="00C807DD"/>
    <w:rsid w:val="00CD6D81"/>
    <w:rsid w:val="00D133FB"/>
    <w:rsid w:val="00D327C6"/>
    <w:rsid w:val="00D72866"/>
    <w:rsid w:val="00DA32BF"/>
    <w:rsid w:val="00E332CC"/>
    <w:rsid w:val="00E85A43"/>
    <w:rsid w:val="00E86F74"/>
    <w:rsid w:val="00EC61D8"/>
    <w:rsid w:val="00EE61A9"/>
    <w:rsid w:val="00EE6E45"/>
    <w:rsid w:val="00EF23AC"/>
    <w:rsid w:val="00EF5615"/>
    <w:rsid w:val="00EF6AFB"/>
    <w:rsid w:val="00F02E62"/>
    <w:rsid w:val="00F0504F"/>
    <w:rsid w:val="00F112FA"/>
    <w:rsid w:val="00F65934"/>
    <w:rsid w:val="00FA5BA7"/>
    <w:rsid w:val="00FC7501"/>
    <w:rsid w:val="00FC7FB4"/>
    <w:rsid w:val="00FD380B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530DE8"/>
    <w:pPr>
      <w:ind w:left="466" w:hanging="360"/>
    </w:pPr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81D63-7805-45C2-97B0-A8341EF29A76}"/>
</file>

<file path=customXml/itemProps3.xml><?xml version="1.0" encoding="utf-8"?>
<ds:datastoreItem xmlns:ds="http://schemas.openxmlformats.org/officeDocument/2006/customXml" ds:itemID="{2EBD83B7-FEF0-41F4-BD67-B1E53BF27836}"/>
</file>

<file path=customXml/itemProps4.xml><?xml version="1.0" encoding="utf-8"?>
<ds:datastoreItem xmlns:ds="http://schemas.openxmlformats.org/officeDocument/2006/customXml" ds:itemID="{DA66449B-D453-4455-B9C8-548BBEDA3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2026-06-01T15:53:00Z</dcterms:created>
  <dcterms:modified xsi:type="dcterms:W3CDTF">2026-06-01T15:53:00Z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