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BC0C7" w14:textId="07329937" w:rsidR="00C72F51" w:rsidRDefault="00EB18D0" w:rsidP="00FC37FB">
      <w:pPr>
        <w:pStyle w:val="Chapter"/>
        <w:spacing w:before="0"/>
      </w:pPr>
      <w:r w:rsidRPr="00EB18D0">
        <w:t>Health and safety knowledge organiser</w:t>
      </w:r>
      <w:r>
        <w:t xml:space="preserve"> – r</w:t>
      </w:r>
      <w:r w:rsidR="0062588D">
        <w:t>oles and responsibilities</w:t>
      </w:r>
    </w:p>
    <w:p w14:paraId="3CA266E3" w14:textId="77777777" w:rsidR="00B07879" w:rsidRDefault="00B07879" w:rsidP="004111E4">
      <w:r>
        <w:t xml:space="preserve">It is important to be aware of and understand the key responsibilities of different roles under key health, safety and welfare legislation. </w:t>
      </w:r>
    </w:p>
    <w:p w14:paraId="174F4899" w14:textId="66A56AF7" w:rsidR="00C72F51" w:rsidRDefault="00C72F51" w:rsidP="004111E4">
      <w:r>
        <w:t>The Health and Safety at Work etc. Act 1974 (HASAWA) is the main Act of Parliament that covers health, safety and welfare in the workplace. It places different responsibilities on employers, employees and the self-employed. Complete the table below to summarise the key responsibilities associated with each of these three roles.</w:t>
      </w:r>
    </w:p>
    <w:tbl>
      <w:tblPr>
        <w:tblStyle w:val="TableGridLight"/>
        <w:tblW w:w="0" w:type="auto"/>
        <w:tblLook w:val="04A0" w:firstRow="1" w:lastRow="0" w:firstColumn="1" w:lastColumn="0" w:noHBand="0" w:noVBand="1"/>
      </w:tblPr>
      <w:tblGrid>
        <w:gridCol w:w="4673"/>
        <w:gridCol w:w="3969"/>
        <w:gridCol w:w="5245"/>
      </w:tblGrid>
      <w:tr w:rsidR="003B2CF6" w14:paraId="790FB7BD" w14:textId="77777777" w:rsidTr="003B2CF6">
        <w:tc>
          <w:tcPr>
            <w:tcW w:w="4673" w:type="dxa"/>
          </w:tcPr>
          <w:p w14:paraId="5E664770" w14:textId="14B3A7FE" w:rsidR="003B2CF6" w:rsidRPr="00891891" w:rsidRDefault="003B2CF6" w:rsidP="004111E4">
            <w:pPr>
              <w:pStyle w:val="Tablehead2"/>
            </w:pPr>
            <w:r>
              <w:t>Employer responsibilities</w:t>
            </w:r>
          </w:p>
        </w:tc>
        <w:tc>
          <w:tcPr>
            <w:tcW w:w="3969" w:type="dxa"/>
          </w:tcPr>
          <w:p w14:paraId="14CF8E33" w14:textId="7EBF6B23" w:rsidR="003B2CF6" w:rsidRPr="00891891" w:rsidRDefault="003B2CF6" w:rsidP="004111E4">
            <w:pPr>
              <w:pStyle w:val="Tablehead2"/>
            </w:pPr>
            <w:r>
              <w:t>Employee responsibilities</w:t>
            </w:r>
          </w:p>
        </w:tc>
        <w:tc>
          <w:tcPr>
            <w:tcW w:w="5245" w:type="dxa"/>
          </w:tcPr>
          <w:p w14:paraId="798EED53" w14:textId="73056AE2" w:rsidR="003B2CF6" w:rsidRPr="00891891" w:rsidRDefault="003B2CF6" w:rsidP="004111E4">
            <w:pPr>
              <w:pStyle w:val="Tablehead2"/>
            </w:pPr>
            <w:r>
              <w:t>Self-employed responsibilities</w:t>
            </w:r>
          </w:p>
        </w:tc>
      </w:tr>
      <w:tr w:rsidR="003B2CF6" w14:paraId="60BAB02A" w14:textId="77777777" w:rsidTr="00FC37FB">
        <w:trPr>
          <w:trHeight w:val="4126"/>
        </w:trPr>
        <w:tc>
          <w:tcPr>
            <w:tcW w:w="4673" w:type="dxa"/>
          </w:tcPr>
          <w:p w14:paraId="6B08BBF4" w14:textId="3D6D345B" w:rsidR="003B2CF6" w:rsidRPr="00377A27" w:rsidRDefault="003B2CF6" w:rsidP="00C348E4">
            <w:pPr>
              <w:pStyle w:val="Tablehead3"/>
            </w:pPr>
          </w:p>
        </w:tc>
        <w:tc>
          <w:tcPr>
            <w:tcW w:w="3969" w:type="dxa"/>
          </w:tcPr>
          <w:p w14:paraId="491F67DE" w14:textId="229EB407" w:rsidR="003B2CF6" w:rsidRPr="00377A27" w:rsidRDefault="003B2CF6" w:rsidP="00377A27">
            <w:pPr>
              <w:pStyle w:val="Tablebody3"/>
            </w:pPr>
          </w:p>
        </w:tc>
        <w:tc>
          <w:tcPr>
            <w:tcW w:w="5245" w:type="dxa"/>
          </w:tcPr>
          <w:p w14:paraId="54E07C99" w14:textId="12D2233E" w:rsidR="003B2CF6" w:rsidRPr="00377A27" w:rsidRDefault="003B2CF6" w:rsidP="00377A27">
            <w:pPr>
              <w:pStyle w:val="Tablebody3"/>
            </w:pPr>
          </w:p>
        </w:tc>
      </w:tr>
    </w:tbl>
    <w:p w14:paraId="1B75EA50" w14:textId="77777777" w:rsidR="00FC37FB" w:rsidRPr="00FC37FB" w:rsidRDefault="00FC37FB" w:rsidP="00FC37FB"/>
    <w:p w14:paraId="50428D4C" w14:textId="77777777" w:rsidR="00FC37FB" w:rsidRPr="005A3B7C" w:rsidRDefault="00FC37FB" w:rsidP="005A3B7C">
      <w:r>
        <w:br w:type="page"/>
      </w:r>
    </w:p>
    <w:p w14:paraId="1FC32E64" w14:textId="15AAB085" w:rsidR="004C1F04" w:rsidRDefault="00F42CFE" w:rsidP="004C1F04">
      <w:pPr>
        <w:pStyle w:val="Chapter"/>
      </w:pPr>
      <w:r>
        <w:lastRenderedPageBreak/>
        <w:t>Legislation organiser</w:t>
      </w:r>
    </w:p>
    <w:p w14:paraId="15C49F8F" w14:textId="73908580" w:rsidR="004C0824" w:rsidRDefault="00807FA0" w:rsidP="0094757B">
      <w:pPr>
        <w:tabs>
          <w:tab w:val="left" w:pos="2429"/>
        </w:tabs>
      </w:pPr>
      <w:r>
        <w:t>The table shows</w:t>
      </w:r>
      <w:r w:rsidR="006947C4">
        <w:t xml:space="preserve"> important regulations that apply to the land-based sector</w:t>
      </w:r>
      <w:r w:rsidR="000D3C01">
        <w:t>.</w:t>
      </w:r>
      <w:r w:rsidR="006947C4">
        <w:t xml:space="preserve"> </w:t>
      </w:r>
      <w:r w:rsidR="00C97C57">
        <w:t>K</w:t>
      </w:r>
      <w:r w:rsidR="006947C4">
        <w:t xml:space="preserve">ey information is missing. Complete the table in your own words. </w:t>
      </w:r>
      <w:r w:rsidR="004C0824">
        <w:t>Use the blank rows to a</w:t>
      </w:r>
      <w:r w:rsidR="006947C4">
        <w:t>dd in</w:t>
      </w:r>
      <w:r w:rsidR="00795AA0">
        <w:t>:</w:t>
      </w:r>
      <w:r w:rsidR="006947C4">
        <w:t xml:space="preserve"> </w:t>
      </w:r>
    </w:p>
    <w:p w14:paraId="497D8F85" w14:textId="1F2E989F" w:rsidR="006947C4" w:rsidRPr="00D3138E" w:rsidRDefault="006947C4" w:rsidP="003660A3">
      <w:pPr>
        <w:pStyle w:val="Tablebullets2"/>
        <w:rPr>
          <w:sz w:val="22"/>
        </w:rPr>
      </w:pPr>
      <w:r w:rsidRPr="00D3138E">
        <w:rPr>
          <w:sz w:val="22"/>
        </w:rPr>
        <w:t xml:space="preserve">examples of other regulations or Acts of Parliament </w:t>
      </w:r>
      <w:r w:rsidR="002307A7" w:rsidRPr="00D3138E">
        <w:rPr>
          <w:sz w:val="22"/>
        </w:rPr>
        <w:t>referenced in your</w:t>
      </w:r>
      <w:r w:rsidR="00C97C57" w:rsidRPr="00D3138E">
        <w:rPr>
          <w:sz w:val="22"/>
        </w:rPr>
        <w:t xml:space="preserve"> </w:t>
      </w:r>
      <w:r w:rsidRPr="00D3138E">
        <w:rPr>
          <w:sz w:val="22"/>
        </w:rPr>
        <w:t>practical sessions</w:t>
      </w:r>
      <w:r w:rsidR="0040238D">
        <w:rPr>
          <w:sz w:val="22"/>
        </w:rPr>
        <w:t>;</w:t>
      </w:r>
    </w:p>
    <w:p w14:paraId="70F7CF75" w14:textId="2FFE5066" w:rsidR="006947C4" w:rsidRPr="00D3138E" w:rsidRDefault="006947C4" w:rsidP="003660A3">
      <w:pPr>
        <w:pStyle w:val="Tablebullets2"/>
        <w:rPr>
          <w:sz w:val="22"/>
        </w:rPr>
      </w:pPr>
      <w:r w:rsidRPr="00D3138E">
        <w:rPr>
          <w:sz w:val="22"/>
        </w:rPr>
        <w:t>any additional regulations appropriate to your industry.</w:t>
      </w:r>
    </w:p>
    <w:tbl>
      <w:tblPr>
        <w:tblStyle w:val="TableGridLight"/>
        <w:tblW w:w="0" w:type="auto"/>
        <w:tblLook w:val="04A0" w:firstRow="1" w:lastRow="0" w:firstColumn="1" w:lastColumn="0" w:noHBand="0" w:noVBand="1"/>
      </w:tblPr>
      <w:tblGrid>
        <w:gridCol w:w="2916"/>
        <w:gridCol w:w="2511"/>
        <w:gridCol w:w="3059"/>
        <w:gridCol w:w="2814"/>
        <w:gridCol w:w="2648"/>
      </w:tblGrid>
      <w:tr w:rsidR="003E211C" w14:paraId="35CA118C" w14:textId="60DEE2FD" w:rsidTr="003E211C">
        <w:tc>
          <w:tcPr>
            <w:tcW w:w="2916" w:type="dxa"/>
          </w:tcPr>
          <w:p w14:paraId="6D326CF1" w14:textId="0F9F0CF8" w:rsidR="003E211C" w:rsidRPr="00891891" w:rsidRDefault="003E211C" w:rsidP="004111E4">
            <w:pPr>
              <w:pStyle w:val="Tablehead2"/>
            </w:pPr>
            <w:r>
              <w:t>Legislation</w:t>
            </w:r>
          </w:p>
        </w:tc>
        <w:tc>
          <w:tcPr>
            <w:tcW w:w="2511" w:type="dxa"/>
          </w:tcPr>
          <w:p w14:paraId="428A563B" w14:textId="24DEFC3E" w:rsidR="003E211C" w:rsidRPr="00891891" w:rsidRDefault="003E211C" w:rsidP="004111E4">
            <w:pPr>
              <w:pStyle w:val="Tablehead2"/>
            </w:pPr>
            <w:r>
              <w:t>Approved code of practice available (Yes/No)</w:t>
            </w:r>
          </w:p>
        </w:tc>
        <w:tc>
          <w:tcPr>
            <w:tcW w:w="3059" w:type="dxa"/>
          </w:tcPr>
          <w:p w14:paraId="501AF8DD" w14:textId="4CE4DE44" w:rsidR="003E211C" w:rsidRPr="00891891" w:rsidRDefault="003E211C" w:rsidP="004111E4">
            <w:pPr>
              <w:pStyle w:val="Tablehead2"/>
            </w:pPr>
            <w:r>
              <w:t>Purpose</w:t>
            </w:r>
          </w:p>
        </w:tc>
        <w:tc>
          <w:tcPr>
            <w:tcW w:w="2814" w:type="dxa"/>
          </w:tcPr>
          <w:p w14:paraId="4F38FF5C" w14:textId="201F9239" w:rsidR="003E211C" w:rsidRDefault="003E211C" w:rsidP="004111E4">
            <w:pPr>
              <w:pStyle w:val="Tablehead2"/>
            </w:pPr>
            <w:r>
              <w:t xml:space="preserve">Key </w:t>
            </w:r>
            <w:r w:rsidR="00EB18D0">
              <w:t>p</w:t>
            </w:r>
            <w:r>
              <w:t xml:space="preserve">oints for </w:t>
            </w:r>
            <w:r w:rsidR="00C97C57">
              <w:t>l</w:t>
            </w:r>
            <w:r>
              <w:t>and-</w:t>
            </w:r>
            <w:r w:rsidR="00C97C57">
              <w:t>b</w:t>
            </w:r>
            <w:r>
              <w:t xml:space="preserve">ased </w:t>
            </w:r>
            <w:r w:rsidR="00C97C57">
              <w:t>w</w:t>
            </w:r>
            <w:r>
              <w:t>ork</w:t>
            </w:r>
          </w:p>
        </w:tc>
        <w:tc>
          <w:tcPr>
            <w:tcW w:w="2648" w:type="dxa"/>
          </w:tcPr>
          <w:p w14:paraId="61B6E2C5" w14:textId="03C7F5F1" w:rsidR="003E211C" w:rsidRDefault="00B61361" w:rsidP="004111E4">
            <w:pPr>
              <w:pStyle w:val="Tablehead2"/>
            </w:pPr>
            <w:r>
              <w:t xml:space="preserve">Examples from </w:t>
            </w:r>
            <w:r w:rsidR="00C97C57">
              <w:t>p</w:t>
            </w:r>
            <w:r>
              <w:t xml:space="preserve">ractical </w:t>
            </w:r>
            <w:r w:rsidR="00C97C57">
              <w:t>s</w:t>
            </w:r>
            <w:r>
              <w:t>essions</w:t>
            </w:r>
          </w:p>
        </w:tc>
      </w:tr>
      <w:tr w:rsidR="00D905D8" w14:paraId="7D686920" w14:textId="77777777" w:rsidTr="003E211C">
        <w:tc>
          <w:tcPr>
            <w:tcW w:w="2916" w:type="dxa"/>
          </w:tcPr>
          <w:p w14:paraId="11C20A30" w14:textId="63505342" w:rsidR="00D905D8" w:rsidRPr="004111E4" w:rsidRDefault="00067765" w:rsidP="004111E4">
            <w:pPr>
              <w:pStyle w:val="Tablehead2"/>
            </w:pPr>
            <w:r w:rsidRPr="004111E4">
              <w:t>Management of Health &amp; Safety at Work Regulations 1999</w:t>
            </w:r>
          </w:p>
        </w:tc>
        <w:tc>
          <w:tcPr>
            <w:tcW w:w="2511" w:type="dxa"/>
          </w:tcPr>
          <w:p w14:paraId="5C0D89D6" w14:textId="77777777" w:rsidR="00D905D8" w:rsidRDefault="00D905D8" w:rsidP="0094757B">
            <w:pPr>
              <w:pStyle w:val="Tablehead3"/>
            </w:pPr>
          </w:p>
        </w:tc>
        <w:tc>
          <w:tcPr>
            <w:tcW w:w="3059" w:type="dxa"/>
          </w:tcPr>
          <w:p w14:paraId="0E6DABA4" w14:textId="77777777" w:rsidR="00D905D8" w:rsidRDefault="00D905D8" w:rsidP="0094757B">
            <w:pPr>
              <w:pStyle w:val="Tablehead3"/>
            </w:pPr>
          </w:p>
        </w:tc>
        <w:tc>
          <w:tcPr>
            <w:tcW w:w="2814" w:type="dxa"/>
          </w:tcPr>
          <w:p w14:paraId="205E5E57" w14:textId="77777777" w:rsidR="00D905D8" w:rsidRDefault="00D905D8" w:rsidP="0094757B">
            <w:pPr>
              <w:pStyle w:val="Tablehead3"/>
            </w:pPr>
          </w:p>
        </w:tc>
        <w:tc>
          <w:tcPr>
            <w:tcW w:w="2648" w:type="dxa"/>
          </w:tcPr>
          <w:p w14:paraId="5F55E614" w14:textId="77777777" w:rsidR="00D905D8" w:rsidRDefault="00D905D8" w:rsidP="0094757B">
            <w:pPr>
              <w:pStyle w:val="Tablehead3"/>
            </w:pPr>
          </w:p>
        </w:tc>
      </w:tr>
      <w:tr w:rsidR="00067765" w14:paraId="109267DA" w14:textId="77777777" w:rsidTr="003E211C">
        <w:tc>
          <w:tcPr>
            <w:tcW w:w="2916" w:type="dxa"/>
          </w:tcPr>
          <w:p w14:paraId="4C499A90" w14:textId="061CDD48" w:rsidR="00067765" w:rsidRPr="004111E4" w:rsidRDefault="00876CBE" w:rsidP="004111E4">
            <w:pPr>
              <w:pStyle w:val="Tablehead2"/>
            </w:pPr>
            <w:r w:rsidRPr="004111E4">
              <w:t>Reporting of Injuries, Diseases and Dangerous Occurrences Regulations (RIDDOR) 2013</w:t>
            </w:r>
          </w:p>
        </w:tc>
        <w:tc>
          <w:tcPr>
            <w:tcW w:w="2511" w:type="dxa"/>
          </w:tcPr>
          <w:p w14:paraId="3EBB6D6A" w14:textId="77777777" w:rsidR="00067765" w:rsidRDefault="00067765" w:rsidP="0094757B">
            <w:pPr>
              <w:pStyle w:val="Tablehead3"/>
            </w:pPr>
          </w:p>
        </w:tc>
        <w:tc>
          <w:tcPr>
            <w:tcW w:w="3059" w:type="dxa"/>
          </w:tcPr>
          <w:p w14:paraId="376152F3" w14:textId="77777777" w:rsidR="00067765" w:rsidRDefault="00067765" w:rsidP="0094757B">
            <w:pPr>
              <w:pStyle w:val="Tablehead3"/>
            </w:pPr>
          </w:p>
        </w:tc>
        <w:tc>
          <w:tcPr>
            <w:tcW w:w="2814" w:type="dxa"/>
          </w:tcPr>
          <w:p w14:paraId="2BB80D25" w14:textId="77777777" w:rsidR="00067765" w:rsidRDefault="00067765" w:rsidP="0094757B">
            <w:pPr>
              <w:pStyle w:val="Tablehead3"/>
            </w:pPr>
          </w:p>
        </w:tc>
        <w:tc>
          <w:tcPr>
            <w:tcW w:w="2648" w:type="dxa"/>
          </w:tcPr>
          <w:p w14:paraId="4EDD0840" w14:textId="77777777" w:rsidR="00067765" w:rsidRDefault="00067765" w:rsidP="0094757B">
            <w:pPr>
              <w:pStyle w:val="Tablehead3"/>
            </w:pPr>
          </w:p>
        </w:tc>
      </w:tr>
      <w:tr w:rsidR="00876CBE" w14:paraId="645671B0" w14:textId="77777777" w:rsidTr="003E211C">
        <w:tc>
          <w:tcPr>
            <w:tcW w:w="2916" w:type="dxa"/>
          </w:tcPr>
          <w:p w14:paraId="7CD6CA33" w14:textId="0CE484E0" w:rsidR="00876CBE" w:rsidRPr="004111E4" w:rsidRDefault="0081441F" w:rsidP="004111E4">
            <w:pPr>
              <w:pStyle w:val="Tablehead2"/>
            </w:pPr>
            <w:r w:rsidRPr="004111E4">
              <w:t>Control of Substances Hazardous to Health Regulations (COSHH) 2002</w:t>
            </w:r>
          </w:p>
        </w:tc>
        <w:tc>
          <w:tcPr>
            <w:tcW w:w="2511" w:type="dxa"/>
          </w:tcPr>
          <w:p w14:paraId="5718030F" w14:textId="77777777" w:rsidR="00876CBE" w:rsidRDefault="00876CBE" w:rsidP="0094757B">
            <w:pPr>
              <w:pStyle w:val="Tablehead3"/>
            </w:pPr>
          </w:p>
        </w:tc>
        <w:tc>
          <w:tcPr>
            <w:tcW w:w="3059" w:type="dxa"/>
          </w:tcPr>
          <w:p w14:paraId="4F3A2C17" w14:textId="77777777" w:rsidR="00876CBE" w:rsidRDefault="00876CBE" w:rsidP="0094757B">
            <w:pPr>
              <w:pStyle w:val="Tablehead3"/>
            </w:pPr>
          </w:p>
        </w:tc>
        <w:tc>
          <w:tcPr>
            <w:tcW w:w="2814" w:type="dxa"/>
          </w:tcPr>
          <w:p w14:paraId="05BA5FCD" w14:textId="77777777" w:rsidR="00876CBE" w:rsidRDefault="00876CBE" w:rsidP="0094757B">
            <w:pPr>
              <w:pStyle w:val="Tablehead3"/>
            </w:pPr>
          </w:p>
        </w:tc>
        <w:tc>
          <w:tcPr>
            <w:tcW w:w="2648" w:type="dxa"/>
          </w:tcPr>
          <w:p w14:paraId="59F9EF19" w14:textId="77777777" w:rsidR="00876CBE" w:rsidRDefault="00876CBE" w:rsidP="0094757B">
            <w:pPr>
              <w:pStyle w:val="Tablehead3"/>
            </w:pPr>
          </w:p>
        </w:tc>
      </w:tr>
      <w:tr w:rsidR="0081441F" w14:paraId="001C3A1E" w14:textId="77777777" w:rsidTr="003E211C">
        <w:tc>
          <w:tcPr>
            <w:tcW w:w="2916" w:type="dxa"/>
          </w:tcPr>
          <w:p w14:paraId="2BEC2C6F" w14:textId="12C2D7F7" w:rsidR="0081441F" w:rsidRPr="004111E4" w:rsidRDefault="00F10439" w:rsidP="004111E4">
            <w:pPr>
              <w:pStyle w:val="Tablehead2"/>
            </w:pPr>
            <w:r w:rsidRPr="004111E4">
              <w:t>Provision and Use of Work Equipment Regulations (PUWER) 1998</w:t>
            </w:r>
          </w:p>
        </w:tc>
        <w:tc>
          <w:tcPr>
            <w:tcW w:w="2511" w:type="dxa"/>
          </w:tcPr>
          <w:p w14:paraId="1E715F11" w14:textId="77777777" w:rsidR="0081441F" w:rsidRDefault="0081441F" w:rsidP="0094757B">
            <w:pPr>
              <w:pStyle w:val="Tablehead3"/>
            </w:pPr>
          </w:p>
        </w:tc>
        <w:tc>
          <w:tcPr>
            <w:tcW w:w="3059" w:type="dxa"/>
          </w:tcPr>
          <w:p w14:paraId="7E58C040" w14:textId="77777777" w:rsidR="0081441F" w:rsidRDefault="0081441F" w:rsidP="0094757B">
            <w:pPr>
              <w:pStyle w:val="Tablehead3"/>
            </w:pPr>
          </w:p>
        </w:tc>
        <w:tc>
          <w:tcPr>
            <w:tcW w:w="2814" w:type="dxa"/>
          </w:tcPr>
          <w:p w14:paraId="2DD4567B" w14:textId="77777777" w:rsidR="0081441F" w:rsidRDefault="0081441F" w:rsidP="0094757B">
            <w:pPr>
              <w:pStyle w:val="Tablehead3"/>
            </w:pPr>
          </w:p>
        </w:tc>
        <w:tc>
          <w:tcPr>
            <w:tcW w:w="2648" w:type="dxa"/>
          </w:tcPr>
          <w:p w14:paraId="460670A5" w14:textId="77777777" w:rsidR="0081441F" w:rsidRDefault="0081441F" w:rsidP="0094757B">
            <w:pPr>
              <w:pStyle w:val="Tablehead3"/>
            </w:pPr>
          </w:p>
        </w:tc>
      </w:tr>
      <w:tr w:rsidR="005453A0" w14:paraId="344805CC" w14:textId="77777777" w:rsidTr="003E211C">
        <w:tc>
          <w:tcPr>
            <w:tcW w:w="2916" w:type="dxa"/>
          </w:tcPr>
          <w:p w14:paraId="77DF5103" w14:textId="4A132891" w:rsidR="005453A0" w:rsidRPr="004111E4" w:rsidRDefault="005453A0" w:rsidP="004111E4">
            <w:pPr>
              <w:pStyle w:val="Tablehead2"/>
            </w:pPr>
            <w:r w:rsidRPr="004111E4">
              <w:t>Lifting Operations and Lifting Equipment Regulations (LOLER) 1998</w:t>
            </w:r>
          </w:p>
        </w:tc>
        <w:tc>
          <w:tcPr>
            <w:tcW w:w="2511" w:type="dxa"/>
          </w:tcPr>
          <w:p w14:paraId="4D33E47D" w14:textId="77777777" w:rsidR="005453A0" w:rsidRDefault="005453A0" w:rsidP="0094757B">
            <w:pPr>
              <w:pStyle w:val="Tablehead3"/>
            </w:pPr>
          </w:p>
        </w:tc>
        <w:tc>
          <w:tcPr>
            <w:tcW w:w="3059" w:type="dxa"/>
          </w:tcPr>
          <w:p w14:paraId="5AD167C0" w14:textId="77777777" w:rsidR="005453A0" w:rsidRDefault="005453A0" w:rsidP="0094757B">
            <w:pPr>
              <w:pStyle w:val="Tablehead3"/>
            </w:pPr>
          </w:p>
        </w:tc>
        <w:tc>
          <w:tcPr>
            <w:tcW w:w="2814" w:type="dxa"/>
          </w:tcPr>
          <w:p w14:paraId="2E861082" w14:textId="77777777" w:rsidR="005453A0" w:rsidRDefault="005453A0" w:rsidP="0094757B">
            <w:pPr>
              <w:pStyle w:val="Tablehead3"/>
            </w:pPr>
          </w:p>
        </w:tc>
        <w:tc>
          <w:tcPr>
            <w:tcW w:w="2648" w:type="dxa"/>
          </w:tcPr>
          <w:p w14:paraId="68342A4F" w14:textId="77777777" w:rsidR="005453A0" w:rsidRDefault="005453A0" w:rsidP="0094757B">
            <w:pPr>
              <w:pStyle w:val="Tablehead3"/>
            </w:pPr>
          </w:p>
        </w:tc>
      </w:tr>
      <w:tr w:rsidR="00DF4067" w14:paraId="30C537DD" w14:textId="77777777" w:rsidTr="003E211C">
        <w:tc>
          <w:tcPr>
            <w:tcW w:w="2916" w:type="dxa"/>
          </w:tcPr>
          <w:p w14:paraId="664CD6B6" w14:textId="18FCF693" w:rsidR="00DF4067" w:rsidRPr="004111E4" w:rsidRDefault="00DF4067" w:rsidP="004111E4">
            <w:pPr>
              <w:pStyle w:val="Tablehead2"/>
            </w:pPr>
            <w:r w:rsidRPr="004111E4">
              <w:lastRenderedPageBreak/>
              <w:t>Personal Protective Equipment (PPE) at Work Regulations 2022</w:t>
            </w:r>
          </w:p>
        </w:tc>
        <w:tc>
          <w:tcPr>
            <w:tcW w:w="2511" w:type="dxa"/>
          </w:tcPr>
          <w:p w14:paraId="2CD5EA2C" w14:textId="77777777" w:rsidR="00DF4067" w:rsidRDefault="00DF4067" w:rsidP="0094757B">
            <w:pPr>
              <w:pStyle w:val="Tablehead3"/>
            </w:pPr>
          </w:p>
        </w:tc>
        <w:tc>
          <w:tcPr>
            <w:tcW w:w="3059" w:type="dxa"/>
          </w:tcPr>
          <w:p w14:paraId="25855C99" w14:textId="77777777" w:rsidR="00DF4067" w:rsidRDefault="00DF4067" w:rsidP="0094757B">
            <w:pPr>
              <w:pStyle w:val="Tablehead3"/>
            </w:pPr>
          </w:p>
        </w:tc>
        <w:tc>
          <w:tcPr>
            <w:tcW w:w="2814" w:type="dxa"/>
          </w:tcPr>
          <w:p w14:paraId="083E1F6B" w14:textId="77777777" w:rsidR="00DF4067" w:rsidRDefault="00DF4067" w:rsidP="0094757B">
            <w:pPr>
              <w:pStyle w:val="Tablehead3"/>
            </w:pPr>
          </w:p>
        </w:tc>
        <w:tc>
          <w:tcPr>
            <w:tcW w:w="2648" w:type="dxa"/>
          </w:tcPr>
          <w:p w14:paraId="52480A6F" w14:textId="77777777" w:rsidR="00DF4067" w:rsidRDefault="00DF4067" w:rsidP="0094757B">
            <w:pPr>
              <w:pStyle w:val="Tablehead3"/>
            </w:pPr>
          </w:p>
        </w:tc>
      </w:tr>
      <w:tr w:rsidR="00DF4067" w14:paraId="12F656BD" w14:textId="77777777" w:rsidTr="003E211C">
        <w:tc>
          <w:tcPr>
            <w:tcW w:w="2916" w:type="dxa"/>
          </w:tcPr>
          <w:p w14:paraId="5924DDED" w14:textId="07349880" w:rsidR="00DF4067" w:rsidRPr="004111E4" w:rsidRDefault="00DA7A9D" w:rsidP="004111E4">
            <w:pPr>
              <w:pStyle w:val="Tablehead2"/>
            </w:pPr>
            <w:r w:rsidRPr="004111E4">
              <w:t>Workplace (Health, Safety and Welfare) Regulations 1992</w:t>
            </w:r>
          </w:p>
        </w:tc>
        <w:tc>
          <w:tcPr>
            <w:tcW w:w="2511" w:type="dxa"/>
          </w:tcPr>
          <w:p w14:paraId="7662C1C2" w14:textId="77777777" w:rsidR="00DF4067" w:rsidRDefault="00DF4067" w:rsidP="0094757B">
            <w:pPr>
              <w:pStyle w:val="Tablehead3"/>
            </w:pPr>
          </w:p>
        </w:tc>
        <w:tc>
          <w:tcPr>
            <w:tcW w:w="3059" w:type="dxa"/>
          </w:tcPr>
          <w:p w14:paraId="45B02890" w14:textId="77777777" w:rsidR="00DF4067" w:rsidRDefault="00DF4067" w:rsidP="0094757B">
            <w:pPr>
              <w:pStyle w:val="Tablehead3"/>
            </w:pPr>
          </w:p>
        </w:tc>
        <w:tc>
          <w:tcPr>
            <w:tcW w:w="2814" w:type="dxa"/>
          </w:tcPr>
          <w:p w14:paraId="1210E42C" w14:textId="77777777" w:rsidR="00DF4067" w:rsidRDefault="00DF4067" w:rsidP="0094757B">
            <w:pPr>
              <w:pStyle w:val="Tablehead3"/>
            </w:pPr>
          </w:p>
        </w:tc>
        <w:tc>
          <w:tcPr>
            <w:tcW w:w="2648" w:type="dxa"/>
          </w:tcPr>
          <w:p w14:paraId="2D0E26E1" w14:textId="77777777" w:rsidR="00DF4067" w:rsidRDefault="00DF4067" w:rsidP="0094757B">
            <w:pPr>
              <w:pStyle w:val="Tablehead3"/>
            </w:pPr>
          </w:p>
        </w:tc>
      </w:tr>
      <w:tr w:rsidR="00DA7A9D" w14:paraId="2071AC23" w14:textId="77777777" w:rsidTr="003E211C">
        <w:tc>
          <w:tcPr>
            <w:tcW w:w="2916" w:type="dxa"/>
          </w:tcPr>
          <w:p w14:paraId="10C2DB68" w14:textId="0D1604A7" w:rsidR="00DA7A9D" w:rsidRPr="004111E4" w:rsidRDefault="003D01C2" w:rsidP="004111E4">
            <w:pPr>
              <w:pStyle w:val="Tablehead2"/>
            </w:pPr>
            <w:r w:rsidRPr="004111E4">
              <w:t>Control of Noise at Work Regulations 2005</w:t>
            </w:r>
          </w:p>
        </w:tc>
        <w:tc>
          <w:tcPr>
            <w:tcW w:w="2511" w:type="dxa"/>
          </w:tcPr>
          <w:p w14:paraId="1E67E286" w14:textId="77777777" w:rsidR="00DA7A9D" w:rsidRDefault="00DA7A9D" w:rsidP="0094757B">
            <w:pPr>
              <w:pStyle w:val="Tablehead3"/>
            </w:pPr>
          </w:p>
        </w:tc>
        <w:tc>
          <w:tcPr>
            <w:tcW w:w="3059" w:type="dxa"/>
          </w:tcPr>
          <w:p w14:paraId="1269FBEF" w14:textId="77777777" w:rsidR="00DA7A9D" w:rsidRDefault="00DA7A9D" w:rsidP="0094757B">
            <w:pPr>
              <w:pStyle w:val="Tablehead3"/>
            </w:pPr>
          </w:p>
        </w:tc>
        <w:tc>
          <w:tcPr>
            <w:tcW w:w="2814" w:type="dxa"/>
          </w:tcPr>
          <w:p w14:paraId="06F2BDB8" w14:textId="77777777" w:rsidR="00DA7A9D" w:rsidRDefault="00DA7A9D" w:rsidP="0094757B">
            <w:pPr>
              <w:pStyle w:val="Tablehead3"/>
            </w:pPr>
          </w:p>
        </w:tc>
        <w:tc>
          <w:tcPr>
            <w:tcW w:w="2648" w:type="dxa"/>
          </w:tcPr>
          <w:p w14:paraId="2964F0AB" w14:textId="77777777" w:rsidR="00DA7A9D" w:rsidRDefault="00DA7A9D" w:rsidP="0094757B">
            <w:pPr>
              <w:pStyle w:val="Tablehead3"/>
            </w:pPr>
          </w:p>
        </w:tc>
      </w:tr>
      <w:tr w:rsidR="003D01C2" w14:paraId="4A0EFEC4" w14:textId="77777777" w:rsidTr="003E211C">
        <w:tc>
          <w:tcPr>
            <w:tcW w:w="2916" w:type="dxa"/>
          </w:tcPr>
          <w:p w14:paraId="59C84D88" w14:textId="32704E48" w:rsidR="003D01C2" w:rsidRPr="004111E4" w:rsidRDefault="00235B16" w:rsidP="004111E4">
            <w:pPr>
              <w:pStyle w:val="Tablehead2"/>
            </w:pPr>
            <w:r w:rsidRPr="004111E4">
              <w:t>Work at Height Regulations 2005</w:t>
            </w:r>
          </w:p>
        </w:tc>
        <w:tc>
          <w:tcPr>
            <w:tcW w:w="2511" w:type="dxa"/>
          </w:tcPr>
          <w:p w14:paraId="74533C56" w14:textId="77777777" w:rsidR="003D01C2" w:rsidRDefault="003D01C2" w:rsidP="0094757B">
            <w:pPr>
              <w:pStyle w:val="Tablehead3"/>
            </w:pPr>
          </w:p>
        </w:tc>
        <w:tc>
          <w:tcPr>
            <w:tcW w:w="3059" w:type="dxa"/>
          </w:tcPr>
          <w:p w14:paraId="383E9898" w14:textId="77777777" w:rsidR="003D01C2" w:rsidRDefault="003D01C2" w:rsidP="0094757B">
            <w:pPr>
              <w:pStyle w:val="Tablehead3"/>
            </w:pPr>
          </w:p>
        </w:tc>
        <w:tc>
          <w:tcPr>
            <w:tcW w:w="2814" w:type="dxa"/>
          </w:tcPr>
          <w:p w14:paraId="5470C1AE" w14:textId="77777777" w:rsidR="003D01C2" w:rsidRDefault="003D01C2" w:rsidP="0094757B">
            <w:pPr>
              <w:pStyle w:val="Tablehead3"/>
            </w:pPr>
          </w:p>
        </w:tc>
        <w:tc>
          <w:tcPr>
            <w:tcW w:w="2648" w:type="dxa"/>
          </w:tcPr>
          <w:p w14:paraId="04C30E7A" w14:textId="77777777" w:rsidR="003D01C2" w:rsidRDefault="003D01C2" w:rsidP="0094757B">
            <w:pPr>
              <w:pStyle w:val="Tablehead3"/>
            </w:pPr>
          </w:p>
        </w:tc>
      </w:tr>
      <w:tr w:rsidR="00235B16" w14:paraId="7E264AD0" w14:textId="77777777" w:rsidTr="003E211C">
        <w:tc>
          <w:tcPr>
            <w:tcW w:w="2916" w:type="dxa"/>
          </w:tcPr>
          <w:p w14:paraId="6B318802" w14:textId="36791BED" w:rsidR="00235B16" w:rsidRPr="004111E4" w:rsidRDefault="007A237D" w:rsidP="004111E4">
            <w:pPr>
              <w:pStyle w:val="Tablehead2"/>
            </w:pPr>
            <w:r w:rsidRPr="004111E4">
              <w:t>Manual Handling Operations Regulations 1992</w:t>
            </w:r>
          </w:p>
        </w:tc>
        <w:tc>
          <w:tcPr>
            <w:tcW w:w="2511" w:type="dxa"/>
          </w:tcPr>
          <w:p w14:paraId="663B9DB3" w14:textId="77777777" w:rsidR="00235B16" w:rsidRDefault="00235B16" w:rsidP="0094757B">
            <w:pPr>
              <w:pStyle w:val="Tablehead3"/>
            </w:pPr>
          </w:p>
        </w:tc>
        <w:tc>
          <w:tcPr>
            <w:tcW w:w="3059" w:type="dxa"/>
          </w:tcPr>
          <w:p w14:paraId="181DC84D" w14:textId="77777777" w:rsidR="00235B16" w:rsidRDefault="00235B16" w:rsidP="0094757B">
            <w:pPr>
              <w:pStyle w:val="Tablehead3"/>
            </w:pPr>
          </w:p>
        </w:tc>
        <w:tc>
          <w:tcPr>
            <w:tcW w:w="2814" w:type="dxa"/>
          </w:tcPr>
          <w:p w14:paraId="4999F781" w14:textId="77777777" w:rsidR="00235B16" w:rsidRDefault="00235B16" w:rsidP="0094757B">
            <w:pPr>
              <w:pStyle w:val="Tablehead3"/>
            </w:pPr>
          </w:p>
        </w:tc>
        <w:tc>
          <w:tcPr>
            <w:tcW w:w="2648" w:type="dxa"/>
          </w:tcPr>
          <w:p w14:paraId="32B8FF48" w14:textId="77777777" w:rsidR="00235B16" w:rsidRDefault="00235B16" w:rsidP="0094757B">
            <w:pPr>
              <w:pStyle w:val="Tablehead3"/>
            </w:pPr>
          </w:p>
        </w:tc>
      </w:tr>
      <w:tr w:rsidR="007A237D" w14:paraId="5C6B9464" w14:textId="77777777" w:rsidTr="003E211C">
        <w:tc>
          <w:tcPr>
            <w:tcW w:w="2916" w:type="dxa"/>
          </w:tcPr>
          <w:p w14:paraId="36B91C4F" w14:textId="77777777" w:rsidR="007A237D" w:rsidRPr="004111E4" w:rsidRDefault="007A237D" w:rsidP="004111E4">
            <w:pPr>
              <w:pStyle w:val="Tablehead2"/>
            </w:pPr>
          </w:p>
        </w:tc>
        <w:tc>
          <w:tcPr>
            <w:tcW w:w="2511" w:type="dxa"/>
          </w:tcPr>
          <w:p w14:paraId="767FD50B" w14:textId="77777777" w:rsidR="007A237D" w:rsidRDefault="007A237D" w:rsidP="0094757B">
            <w:pPr>
              <w:pStyle w:val="Tablehead3"/>
            </w:pPr>
          </w:p>
        </w:tc>
        <w:tc>
          <w:tcPr>
            <w:tcW w:w="3059" w:type="dxa"/>
          </w:tcPr>
          <w:p w14:paraId="211CF8BD" w14:textId="77777777" w:rsidR="007A237D" w:rsidRDefault="007A237D" w:rsidP="0094757B">
            <w:pPr>
              <w:pStyle w:val="Tablehead3"/>
            </w:pPr>
          </w:p>
        </w:tc>
        <w:tc>
          <w:tcPr>
            <w:tcW w:w="2814" w:type="dxa"/>
          </w:tcPr>
          <w:p w14:paraId="6F7F3A4E" w14:textId="77777777" w:rsidR="007A237D" w:rsidRDefault="007A237D" w:rsidP="0094757B">
            <w:pPr>
              <w:pStyle w:val="Tablehead3"/>
            </w:pPr>
          </w:p>
        </w:tc>
        <w:tc>
          <w:tcPr>
            <w:tcW w:w="2648" w:type="dxa"/>
          </w:tcPr>
          <w:p w14:paraId="7EECC5C2" w14:textId="77777777" w:rsidR="007A237D" w:rsidRDefault="007A237D" w:rsidP="0094757B">
            <w:pPr>
              <w:pStyle w:val="Tablehead3"/>
            </w:pPr>
          </w:p>
        </w:tc>
      </w:tr>
      <w:tr w:rsidR="007A237D" w14:paraId="4FEAC49F" w14:textId="77777777" w:rsidTr="003E211C">
        <w:tc>
          <w:tcPr>
            <w:tcW w:w="2916" w:type="dxa"/>
          </w:tcPr>
          <w:p w14:paraId="6BC3AFA7" w14:textId="77777777" w:rsidR="007A237D" w:rsidRPr="004111E4" w:rsidRDefault="007A237D" w:rsidP="004111E4">
            <w:pPr>
              <w:pStyle w:val="Tablehead2"/>
            </w:pPr>
          </w:p>
        </w:tc>
        <w:tc>
          <w:tcPr>
            <w:tcW w:w="2511" w:type="dxa"/>
          </w:tcPr>
          <w:p w14:paraId="4D367BC0" w14:textId="77777777" w:rsidR="007A237D" w:rsidRDefault="007A237D" w:rsidP="0094757B">
            <w:pPr>
              <w:pStyle w:val="Tablehead3"/>
            </w:pPr>
          </w:p>
        </w:tc>
        <w:tc>
          <w:tcPr>
            <w:tcW w:w="3059" w:type="dxa"/>
          </w:tcPr>
          <w:p w14:paraId="3E3645BF" w14:textId="77777777" w:rsidR="007A237D" w:rsidRDefault="007A237D" w:rsidP="0094757B">
            <w:pPr>
              <w:pStyle w:val="Tablehead3"/>
            </w:pPr>
          </w:p>
        </w:tc>
        <w:tc>
          <w:tcPr>
            <w:tcW w:w="2814" w:type="dxa"/>
          </w:tcPr>
          <w:p w14:paraId="431E97CA" w14:textId="77777777" w:rsidR="007A237D" w:rsidRDefault="007A237D" w:rsidP="0094757B">
            <w:pPr>
              <w:pStyle w:val="Tablehead3"/>
            </w:pPr>
          </w:p>
        </w:tc>
        <w:tc>
          <w:tcPr>
            <w:tcW w:w="2648" w:type="dxa"/>
          </w:tcPr>
          <w:p w14:paraId="07B1ED57" w14:textId="77777777" w:rsidR="007A237D" w:rsidRDefault="007A237D" w:rsidP="0094757B">
            <w:pPr>
              <w:pStyle w:val="Tablehead3"/>
            </w:pPr>
          </w:p>
        </w:tc>
      </w:tr>
    </w:tbl>
    <w:p w14:paraId="35010552" w14:textId="37D944D8" w:rsidR="00697C4C" w:rsidRDefault="00697C4C" w:rsidP="006C2189">
      <w:pPr>
        <w:pStyle w:val="Heading1"/>
      </w:pPr>
      <w:r>
        <w:t>Legislation recall</w:t>
      </w:r>
    </w:p>
    <w:p w14:paraId="0335F169" w14:textId="2932C823" w:rsidR="00697C4C" w:rsidRDefault="00697C4C" w:rsidP="004111E4">
      <w:pPr>
        <w:pStyle w:val="ListParagraph"/>
        <w:numPr>
          <w:ilvl w:val="0"/>
          <w:numId w:val="24"/>
        </w:numPr>
      </w:pPr>
      <w:r>
        <w:t>PUWER (1998)</w:t>
      </w:r>
      <w:r w:rsidR="00DE11D3">
        <w:t>:</w:t>
      </w:r>
      <w:r>
        <w:t xml:space="preserve"> Identify three (3) examples of equipment covered</w:t>
      </w:r>
      <w:r w:rsidR="00B9423A">
        <w:t>.</w:t>
      </w:r>
    </w:p>
    <w:p w14:paraId="2C3A6908" w14:textId="6155E955" w:rsidR="00697C4C" w:rsidRDefault="00697C4C" w:rsidP="004111E4">
      <w:pPr>
        <w:pStyle w:val="ListParagraph"/>
        <w:numPr>
          <w:ilvl w:val="0"/>
          <w:numId w:val="24"/>
        </w:numPr>
      </w:pPr>
      <w:r>
        <w:t>COSHH (2002)</w:t>
      </w:r>
      <w:r w:rsidR="00DE11D3">
        <w:t>:</w:t>
      </w:r>
      <w:r>
        <w:t xml:space="preserve"> Identify three (3) hazardous substances in land-based work</w:t>
      </w:r>
      <w:r w:rsidR="00B9423A">
        <w:t>.</w:t>
      </w:r>
    </w:p>
    <w:p w14:paraId="31A76983" w14:textId="3B3AB6FF" w:rsidR="00697C4C" w:rsidRDefault="00697C4C" w:rsidP="004111E4">
      <w:pPr>
        <w:pStyle w:val="ListParagraph"/>
        <w:numPr>
          <w:ilvl w:val="0"/>
          <w:numId w:val="24"/>
        </w:numPr>
      </w:pPr>
      <w:r>
        <w:t>Work at Height Regulations (2005)</w:t>
      </w:r>
      <w:r w:rsidR="00DE11D3">
        <w:t>:</w:t>
      </w:r>
      <w:r>
        <w:t xml:space="preserve"> Identify two (2) tasks that </w:t>
      </w:r>
      <w:r w:rsidR="0072022E">
        <w:t>qualify</w:t>
      </w:r>
      <w:r>
        <w:t xml:space="preserve"> as </w:t>
      </w:r>
      <w:r w:rsidR="00EB18D0">
        <w:t>‘</w:t>
      </w:r>
      <w:r>
        <w:t>work at height</w:t>
      </w:r>
      <w:r w:rsidR="00EB18D0">
        <w:t>’</w:t>
      </w:r>
      <w:r w:rsidR="00B9423A">
        <w:t>.</w:t>
      </w:r>
    </w:p>
    <w:p w14:paraId="75C5CAF9" w14:textId="3213A8AA" w:rsidR="00FC37FB" w:rsidRDefault="00697C4C" w:rsidP="004111E4">
      <w:pPr>
        <w:pStyle w:val="ListParagraph"/>
        <w:numPr>
          <w:ilvl w:val="0"/>
          <w:numId w:val="24"/>
        </w:numPr>
      </w:pPr>
      <w:r>
        <w:t>RIDDOR (2013)</w:t>
      </w:r>
      <w:r w:rsidR="00DE11D3">
        <w:t>:</w:t>
      </w:r>
      <w:r>
        <w:t xml:space="preserve"> Identify three (3) things that must be reported</w:t>
      </w:r>
      <w:r w:rsidR="00B9423A">
        <w:t>.</w:t>
      </w:r>
    </w:p>
    <w:sectPr w:rsidR="00FC37FB" w:rsidSect="00031572">
      <w:headerReference w:type="default" r:id="rId8"/>
      <w:footerReference w:type="default" r:id="rId9"/>
      <w:pgSz w:w="16838" w:h="11906" w:orient="landscape"/>
      <w:pgMar w:top="1247" w:right="1440" w:bottom="2127"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ABE6C" w14:textId="77777777" w:rsidR="003948A4" w:rsidRDefault="003948A4" w:rsidP="000C51BB">
      <w:pPr>
        <w:spacing w:after="0" w:line="240" w:lineRule="auto"/>
      </w:pPr>
      <w:r>
        <w:separator/>
      </w:r>
    </w:p>
  </w:endnote>
  <w:endnote w:type="continuationSeparator" w:id="0">
    <w:p w14:paraId="0C908470" w14:textId="77777777" w:rsidR="003948A4" w:rsidRDefault="003948A4"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42157669"/>
      <w:docPartObj>
        <w:docPartGallery w:val="Page Numbers (Bottom of Page)"/>
        <w:docPartUnique/>
      </w:docPartObj>
    </w:sdtPr>
    <w:sdtEndPr>
      <w:rPr>
        <w:noProof/>
        <w:color w:val="808080" w:themeColor="background1" w:themeShade="80"/>
      </w:rPr>
    </w:sdtEndPr>
    <w:sdtContent>
      <w:sdt>
        <w:sdtPr>
          <w:rPr>
            <w:sz w:val="20"/>
            <w:szCs w:val="20"/>
          </w:rPr>
          <w:id w:val="-635027481"/>
          <w:docPartObj>
            <w:docPartGallery w:val="Page Numbers (Bottom of Page)"/>
            <w:docPartUnique/>
          </w:docPartObj>
        </w:sdtPr>
        <w:sdtEndPr>
          <w:rPr>
            <w:noProof/>
            <w:color w:val="808080" w:themeColor="background1" w:themeShade="80"/>
          </w:rPr>
        </w:sdtEndPr>
        <w:sdtContent>
          <w:p w14:paraId="202D55B2" w14:textId="101BE410" w:rsidR="00031572" w:rsidRDefault="00031572" w:rsidP="00031572">
            <w:pPr>
              <w:pStyle w:val="Footer"/>
              <w:jc w:val="right"/>
              <w:rPr>
                <w:sz w:val="20"/>
                <w:szCs w:val="20"/>
              </w:rPr>
            </w:pPr>
          </w:p>
          <w:sdt>
            <w:sdtPr>
              <w:rPr>
                <w:sz w:val="20"/>
                <w:szCs w:val="20"/>
              </w:rPr>
              <w:id w:val="-678031975"/>
              <w:docPartObj>
                <w:docPartGallery w:val="Page Numbers (Bottom of Page)"/>
                <w:docPartUnique/>
              </w:docPartObj>
            </w:sdtPr>
            <w:sdtEndPr>
              <w:rPr>
                <w:noProof/>
                <w:color w:val="808080" w:themeColor="background1" w:themeShade="80"/>
              </w:rPr>
            </w:sdtEndPr>
            <w:sdtContent>
              <w:tbl>
                <w:tblPr>
                  <w:tblStyle w:val="TableGridLight"/>
                  <w:tblW w:w="5000"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8121"/>
                  <w:gridCol w:w="5837"/>
                </w:tblGrid>
                <w:tr w:rsidR="00031572" w14:paraId="78BEFF50" w14:textId="77777777" w:rsidTr="00770787">
                  <w:tc>
                    <w:tcPr>
                      <w:tcW w:w="5000" w:type="pct"/>
                      <w:gridSpan w:val="2"/>
                      <w:tcBorders>
                        <w:bottom w:val="nil"/>
                      </w:tcBorders>
                    </w:tcPr>
                    <w:p w14:paraId="063D4CFB" w14:textId="25B17477" w:rsidR="00031572" w:rsidRDefault="00937AB6" w:rsidP="00031572">
                      <w:pPr>
                        <w:pStyle w:val="Header"/>
                        <w:spacing w:after="120"/>
                        <w:rPr>
                          <w:sz w:val="18"/>
                          <w:szCs w:val="18"/>
                        </w:rPr>
                      </w:pPr>
                      <w:r w:rsidRPr="00937AB6">
                        <w:rPr>
                          <w:sz w:val="20"/>
                          <w:szCs w:val="20"/>
                        </w:rPr>
                        <w:t>Agriculture, Environmental and Animal Care</w:t>
                      </w:r>
                      <w:r w:rsidR="000638CB">
                        <w:rPr>
                          <w:sz w:val="20"/>
                          <w:szCs w:val="20"/>
                        </w:rPr>
                        <w:t>:</w:t>
                      </w:r>
                      <w:r w:rsidR="00031572">
                        <w:rPr>
                          <w:noProof/>
                          <w:sz w:val="20"/>
                          <w:szCs w:val="20"/>
                        </w:rPr>
                        <w:t xml:space="preserve"> </w:t>
                      </w:r>
                      <w:r w:rsidR="00EB18D0">
                        <w:rPr>
                          <w:noProof/>
                          <w:sz w:val="20"/>
                          <w:szCs w:val="20"/>
                        </w:rPr>
                        <w:t>Health and safety</w:t>
                      </w:r>
                    </w:p>
                  </w:tc>
                </w:tr>
                <w:tr w:rsidR="00031572" w14:paraId="0B53C544" w14:textId="77777777" w:rsidTr="00F65934">
                  <w:tc>
                    <w:tcPr>
                      <w:tcW w:w="2909" w:type="pct"/>
                      <w:tcBorders>
                        <w:top w:val="nil"/>
                        <w:bottom w:val="single" w:sz="12" w:space="0" w:color="EEDDDD"/>
                      </w:tcBorders>
                    </w:tcPr>
                    <w:p w14:paraId="5255A0DD" w14:textId="5058E079" w:rsidR="00031572" w:rsidRDefault="00031572" w:rsidP="00031572">
                      <w:pPr>
                        <w:pStyle w:val="Header"/>
                        <w:spacing w:after="120"/>
                        <w:rPr>
                          <w:sz w:val="20"/>
                          <w:szCs w:val="20"/>
                        </w:rPr>
                      </w:pPr>
                      <w:r>
                        <w:rPr>
                          <w:noProof/>
                          <w:sz w:val="20"/>
                          <w:szCs w:val="20"/>
                        </w:rPr>
                        <w:t xml:space="preserve">Version 1, </w:t>
                      </w:r>
                      <w:r w:rsidR="00C45B36">
                        <w:rPr>
                          <w:noProof/>
                          <w:sz w:val="20"/>
                          <w:szCs w:val="20"/>
                        </w:rPr>
                        <w:t>June</w:t>
                      </w:r>
                      <w:r w:rsidR="00EB18D0">
                        <w:rPr>
                          <w:noProof/>
                          <w:sz w:val="20"/>
                          <w:szCs w:val="20"/>
                        </w:rPr>
                        <w:t xml:space="preserve"> 2026</w:t>
                      </w:r>
                    </w:p>
                  </w:tc>
                  <w:tc>
                    <w:tcPr>
                      <w:tcW w:w="2091" w:type="pct"/>
                      <w:tcBorders>
                        <w:top w:val="nil"/>
                        <w:bottom w:val="single" w:sz="12" w:space="0" w:color="EEDDDD"/>
                      </w:tcBorders>
                      <w:vAlign w:val="bottom"/>
                    </w:tcPr>
                    <w:p w14:paraId="3A09216A" w14:textId="64245C23" w:rsidR="00031572" w:rsidRDefault="00031572" w:rsidP="00031572">
                      <w:pPr>
                        <w:pStyle w:val="Header"/>
                        <w:spacing w:after="120"/>
                        <w:jc w:val="right"/>
                        <w:rPr>
                          <w:sz w:val="20"/>
                          <w:szCs w:val="20"/>
                        </w:rPr>
                      </w:pPr>
                      <w:r>
                        <w:rPr>
                          <w:sz w:val="18"/>
                          <w:szCs w:val="18"/>
                        </w:rPr>
                        <w:t xml:space="preserve">© Gatsby Technical Education Projects </w:t>
                      </w:r>
                      <w:r w:rsidR="006F4FF7">
                        <w:rPr>
                          <w:sz w:val="18"/>
                          <w:szCs w:val="18"/>
                        </w:rPr>
                        <w:t>202</w:t>
                      </w:r>
                      <w:r w:rsidR="00F0504F">
                        <w:rPr>
                          <w:sz w:val="18"/>
                          <w:szCs w:val="18"/>
                        </w:rPr>
                        <w:t>6</w:t>
                      </w:r>
                    </w:p>
                  </w:tc>
                </w:tr>
              </w:tbl>
              <w:p w14:paraId="27C36871" w14:textId="77777777" w:rsidR="00031572" w:rsidRDefault="00031572" w:rsidP="00031572">
                <w:pPr>
                  <w:pStyle w:val="Footer"/>
                  <w:jc w:val="right"/>
                  <w:rPr>
                    <w:sz w:val="20"/>
                    <w:szCs w:val="20"/>
                  </w:rPr>
                </w:pPr>
              </w:p>
              <w:p w14:paraId="37F140C6" w14:textId="6463F179" w:rsidR="006A42C1" w:rsidRPr="0099395B" w:rsidRDefault="00031572" w:rsidP="00031572">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6</w:t>
                </w:r>
                <w:r w:rsidRPr="0099395B">
                  <w:rPr>
                    <w:noProof/>
                    <w:color w:val="808080" w:themeColor="background1" w:themeShade="80"/>
                    <w:sz w:val="20"/>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D95B" w14:textId="77777777" w:rsidR="003948A4" w:rsidRDefault="003948A4" w:rsidP="000C51BB">
      <w:pPr>
        <w:spacing w:after="0" w:line="240" w:lineRule="auto"/>
      </w:pPr>
      <w:r>
        <w:separator/>
      </w:r>
    </w:p>
  </w:footnote>
  <w:footnote w:type="continuationSeparator" w:id="0">
    <w:p w14:paraId="7FAB0B7E" w14:textId="77777777" w:rsidR="003948A4" w:rsidRDefault="003948A4"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3294"/>
      <w:gridCol w:w="10664"/>
    </w:tblGrid>
    <w:tr w:rsidR="006A42C1" w14:paraId="2035A0CD" w14:textId="77777777" w:rsidTr="00F65934">
      <w:tc>
        <w:tcPr>
          <w:tcW w:w="1180" w:type="pct"/>
          <w:tcBorders>
            <w:bottom w:val="single" w:sz="12" w:space="0" w:color="EEDDDD"/>
          </w:tcBorders>
        </w:tcPr>
        <w:p w14:paraId="43ACD7DC" w14:textId="77777777" w:rsidR="006A42C1" w:rsidRDefault="006A42C1" w:rsidP="00225715">
          <w:pPr>
            <w:pStyle w:val="Header"/>
            <w:spacing w:after="120"/>
            <w:rPr>
              <w:sz w:val="20"/>
              <w:szCs w:val="20"/>
            </w:rPr>
          </w:pPr>
        </w:p>
      </w:tc>
      <w:tc>
        <w:tcPr>
          <w:tcW w:w="3820" w:type="pct"/>
          <w:tcBorders>
            <w:bottom w:val="single" w:sz="12" w:space="0" w:color="EEDDDD"/>
          </w:tcBorders>
        </w:tcPr>
        <w:p w14:paraId="58E1F7D9" w14:textId="6BDBBE4D" w:rsidR="006A42C1" w:rsidRDefault="00936864" w:rsidP="00225715">
          <w:pPr>
            <w:pStyle w:val="Header"/>
            <w:spacing w:after="120"/>
            <w:jc w:val="right"/>
            <w:rPr>
              <w:sz w:val="20"/>
              <w:szCs w:val="20"/>
            </w:rPr>
          </w:pPr>
          <w:r>
            <w:rPr>
              <w:sz w:val="20"/>
              <w:szCs w:val="20"/>
            </w:rPr>
            <w:t>Resource</w:t>
          </w:r>
          <w:r w:rsidR="006A42C1" w:rsidRPr="000F0146">
            <w:rPr>
              <w:sz w:val="20"/>
              <w:szCs w:val="20"/>
            </w:rPr>
            <w:t xml:space="preserve"> </w:t>
          </w:r>
          <w:r w:rsidR="00EB18D0">
            <w:rPr>
              <w:sz w:val="20"/>
              <w:szCs w:val="20"/>
            </w:rPr>
            <w:t>2</w:t>
          </w:r>
          <w:r w:rsidR="006A42C1" w:rsidRPr="000F0146">
            <w:rPr>
              <w:sz w:val="20"/>
              <w:szCs w:val="20"/>
            </w:rPr>
            <w:t xml:space="preserve">: </w:t>
          </w:r>
          <w:r w:rsidR="00EB18D0" w:rsidRPr="00D3138E">
            <w:rPr>
              <w:sz w:val="20"/>
              <w:szCs w:val="20"/>
            </w:rPr>
            <w:t>Health and safety knowledge organiser</w:t>
          </w:r>
        </w:p>
        <w:p w14:paraId="6FEE335E" w14:textId="18DAE55F" w:rsidR="006A42C1" w:rsidRDefault="00BD42DD" w:rsidP="00225715">
          <w:pPr>
            <w:pStyle w:val="Header"/>
            <w:spacing w:after="120"/>
            <w:jc w:val="right"/>
            <w:rPr>
              <w:sz w:val="20"/>
              <w:szCs w:val="20"/>
            </w:rPr>
          </w:pPr>
          <w:r>
            <w:rPr>
              <w:sz w:val="20"/>
              <w:szCs w:val="20"/>
            </w:rPr>
            <w:t>Worksheet</w:t>
          </w:r>
        </w:p>
      </w:tc>
    </w:tr>
  </w:tbl>
  <w:p w14:paraId="4466917E" w14:textId="77777777" w:rsidR="006A42C1" w:rsidRPr="00862C5D" w:rsidRDefault="006A42C1" w:rsidP="00862C5D">
    <w:pPr>
      <w:pStyle w:val="Header"/>
      <w:rPr>
        <w:sz w:val="20"/>
        <w:szCs w:val="20"/>
      </w:rPr>
    </w:pPr>
    <w:r>
      <w:rPr>
        <w:noProof/>
        <w:sz w:val="20"/>
        <w:szCs w:val="20"/>
      </w:rPr>
      <w:drawing>
        <wp:anchor distT="0" distB="0" distL="114300" distR="114300" simplePos="0" relativeHeight="251662336" behindDoc="0" locked="0" layoutInCell="1" allowOverlap="1" wp14:anchorId="2DE87161" wp14:editId="49527193">
          <wp:simplePos x="0" y="0"/>
          <wp:positionH relativeFrom="margin">
            <wp:align>left</wp:align>
          </wp:positionH>
          <wp:positionV relativeFrom="paragraph">
            <wp:posOffset>-601345</wp:posOffset>
          </wp:positionV>
          <wp:extent cx="1137557" cy="477540"/>
          <wp:effectExtent l="0" t="0" r="5715" b="0"/>
          <wp:wrapNone/>
          <wp:docPr id="454791118" name="Picture 45479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C6C1B"/>
    <w:multiLevelType w:val="multilevel"/>
    <w:tmpl w:val="A1E663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7773E4"/>
    <w:multiLevelType w:val="hybridMultilevel"/>
    <w:tmpl w:val="6D829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0"/>
  </w:num>
  <w:num w:numId="2" w16cid:durableId="1334603471">
    <w:abstractNumId w:val="5"/>
  </w:num>
  <w:num w:numId="3" w16cid:durableId="454100576">
    <w:abstractNumId w:val="14"/>
  </w:num>
  <w:num w:numId="4" w16cid:durableId="358432893">
    <w:abstractNumId w:val="16"/>
  </w:num>
  <w:num w:numId="5" w16cid:durableId="1769345959">
    <w:abstractNumId w:val="2"/>
  </w:num>
  <w:num w:numId="6" w16cid:durableId="2092727936">
    <w:abstractNumId w:val="13"/>
  </w:num>
  <w:num w:numId="7" w16cid:durableId="1424182519">
    <w:abstractNumId w:val="19"/>
  </w:num>
  <w:num w:numId="8" w16cid:durableId="1380324300">
    <w:abstractNumId w:val="9"/>
  </w:num>
  <w:num w:numId="9" w16cid:durableId="1810899930">
    <w:abstractNumId w:val="3"/>
  </w:num>
  <w:num w:numId="10" w16cid:durableId="1276324223">
    <w:abstractNumId w:val="11"/>
  </w:num>
  <w:num w:numId="11" w16cid:durableId="269892830">
    <w:abstractNumId w:val="18"/>
  </w:num>
  <w:num w:numId="12" w16cid:durableId="476338105">
    <w:abstractNumId w:val="6"/>
  </w:num>
  <w:num w:numId="13" w16cid:durableId="2010592579">
    <w:abstractNumId w:val="22"/>
  </w:num>
  <w:num w:numId="14" w16cid:durableId="1520898666">
    <w:abstractNumId w:val="12"/>
  </w:num>
  <w:num w:numId="15" w16cid:durableId="802045075">
    <w:abstractNumId w:val="8"/>
  </w:num>
  <w:num w:numId="16" w16cid:durableId="1861626428">
    <w:abstractNumId w:val="20"/>
  </w:num>
  <w:num w:numId="17" w16cid:durableId="521436602">
    <w:abstractNumId w:val="7"/>
  </w:num>
  <w:num w:numId="18" w16cid:durableId="135143229">
    <w:abstractNumId w:val="0"/>
  </w:num>
  <w:num w:numId="19" w16cid:durableId="741148128">
    <w:abstractNumId w:val="1"/>
  </w:num>
  <w:num w:numId="20" w16cid:durableId="769352765">
    <w:abstractNumId w:val="15"/>
  </w:num>
  <w:num w:numId="21" w16cid:durableId="1186407963">
    <w:abstractNumId w:val="4"/>
  </w:num>
  <w:num w:numId="22" w16cid:durableId="311957161">
    <w:abstractNumId w:val="23"/>
  </w:num>
  <w:num w:numId="23" w16cid:durableId="1312519773">
    <w:abstractNumId w:val="17"/>
  </w:num>
  <w:num w:numId="24" w16cid:durableId="6934600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hideSpellingErrors/>
  <w:hideGrammatical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TableGridLigh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2NbU0sTAztTSytLRQ0lEKTi0uzszPAykwqQUAsbQC/iwAAAA="/>
  </w:docVars>
  <w:rsids>
    <w:rsidRoot w:val="000C51BB"/>
    <w:rsid w:val="000105AB"/>
    <w:rsid w:val="00031572"/>
    <w:rsid w:val="0003342C"/>
    <w:rsid w:val="000361B9"/>
    <w:rsid w:val="00041B75"/>
    <w:rsid w:val="00041F60"/>
    <w:rsid w:val="000470E0"/>
    <w:rsid w:val="000638CB"/>
    <w:rsid w:val="0006706F"/>
    <w:rsid w:val="00067765"/>
    <w:rsid w:val="00083A47"/>
    <w:rsid w:val="000A319C"/>
    <w:rsid w:val="000B2354"/>
    <w:rsid w:val="000B24E1"/>
    <w:rsid w:val="000C51BB"/>
    <w:rsid w:val="000C7A38"/>
    <w:rsid w:val="000D113C"/>
    <w:rsid w:val="000D3C01"/>
    <w:rsid w:val="000F0146"/>
    <w:rsid w:val="000F432F"/>
    <w:rsid w:val="00117BD1"/>
    <w:rsid w:val="0012667D"/>
    <w:rsid w:val="0013236C"/>
    <w:rsid w:val="001409B0"/>
    <w:rsid w:val="00142E67"/>
    <w:rsid w:val="0015537E"/>
    <w:rsid w:val="00156CC7"/>
    <w:rsid w:val="0015738A"/>
    <w:rsid w:val="001658A0"/>
    <w:rsid w:val="0016745C"/>
    <w:rsid w:val="00180C45"/>
    <w:rsid w:val="00185787"/>
    <w:rsid w:val="001D637C"/>
    <w:rsid w:val="001E1893"/>
    <w:rsid w:val="00204B71"/>
    <w:rsid w:val="002062A1"/>
    <w:rsid w:val="00206EF2"/>
    <w:rsid w:val="002105FE"/>
    <w:rsid w:val="00215D2E"/>
    <w:rsid w:val="00225715"/>
    <w:rsid w:val="002307A7"/>
    <w:rsid w:val="00235B16"/>
    <w:rsid w:val="002547B3"/>
    <w:rsid w:val="002631D3"/>
    <w:rsid w:val="0029094D"/>
    <w:rsid w:val="002A167A"/>
    <w:rsid w:val="002B1F31"/>
    <w:rsid w:val="002C07C6"/>
    <w:rsid w:val="002C7D5F"/>
    <w:rsid w:val="00300588"/>
    <w:rsid w:val="00310272"/>
    <w:rsid w:val="00314556"/>
    <w:rsid w:val="00340E85"/>
    <w:rsid w:val="00345A04"/>
    <w:rsid w:val="00346980"/>
    <w:rsid w:val="003660A3"/>
    <w:rsid w:val="00370D6E"/>
    <w:rsid w:val="00377A27"/>
    <w:rsid w:val="00390713"/>
    <w:rsid w:val="003948A4"/>
    <w:rsid w:val="003A4BF3"/>
    <w:rsid w:val="003B125E"/>
    <w:rsid w:val="003B2CF6"/>
    <w:rsid w:val="003B30F7"/>
    <w:rsid w:val="003B319C"/>
    <w:rsid w:val="003C2161"/>
    <w:rsid w:val="003D01C2"/>
    <w:rsid w:val="003D46AC"/>
    <w:rsid w:val="003E211C"/>
    <w:rsid w:val="003F01DF"/>
    <w:rsid w:val="003F2915"/>
    <w:rsid w:val="0040238D"/>
    <w:rsid w:val="004111E4"/>
    <w:rsid w:val="004235EA"/>
    <w:rsid w:val="00433D22"/>
    <w:rsid w:val="00440C78"/>
    <w:rsid w:val="00445C22"/>
    <w:rsid w:val="00454611"/>
    <w:rsid w:val="004606AC"/>
    <w:rsid w:val="004635D4"/>
    <w:rsid w:val="00464106"/>
    <w:rsid w:val="0048092F"/>
    <w:rsid w:val="00492091"/>
    <w:rsid w:val="004C0824"/>
    <w:rsid w:val="004C1F04"/>
    <w:rsid w:val="004F30C6"/>
    <w:rsid w:val="004F4859"/>
    <w:rsid w:val="004F58B3"/>
    <w:rsid w:val="00516BE2"/>
    <w:rsid w:val="005369B8"/>
    <w:rsid w:val="005453A0"/>
    <w:rsid w:val="00551768"/>
    <w:rsid w:val="00553256"/>
    <w:rsid w:val="005873B4"/>
    <w:rsid w:val="005A3B7C"/>
    <w:rsid w:val="005D2012"/>
    <w:rsid w:val="005F6977"/>
    <w:rsid w:val="0062588D"/>
    <w:rsid w:val="006308DD"/>
    <w:rsid w:val="00634C07"/>
    <w:rsid w:val="00637FFD"/>
    <w:rsid w:val="0065455D"/>
    <w:rsid w:val="00670A30"/>
    <w:rsid w:val="006731C4"/>
    <w:rsid w:val="006947C4"/>
    <w:rsid w:val="00697C4C"/>
    <w:rsid w:val="006A42C1"/>
    <w:rsid w:val="006B5E43"/>
    <w:rsid w:val="006C2189"/>
    <w:rsid w:val="006D0B8D"/>
    <w:rsid w:val="006D0E51"/>
    <w:rsid w:val="006F4FF7"/>
    <w:rsid w:val="0070113B"/>
    <w:rsid w:val="00706B6D"/>
    <w:rsid w:val="0072022E"/>
    <w:rsid w:val="00720937"/>
    <w:rsid w:val="00724266"/>
    <w:rsid w:val="0072690B"/>
    <w:rsid w:val="00731E26"/>
    <w:rsid w:val="00750697"/>
    <w:rsid w:val="00770D34"/>
    <w:rsid w:val="00773A05"/>
    <w:rsid w:val="00795AA0"/>
    <w:rsid w:val="007A237D"/>
    <w:rsid w:val="007B3C00"/>
    <w:rsid w:val="007B5294"/>
    <w:rsid w:val="007D158B"/>
    <w:rsid w:val="007D2C0C"/>
    <w:rsid w:val="007E7408"/>
    <w:rsid w:val="0080431E"/>
    <w:rsid w:val="00807FA0"/>
    <w:rsid w:val="0081441F"/>
    <w:rsid w:val="00833CE6"/>
    <w:rsid w:val="00862C5D"/>
    <w:rsid w:val="00876CBE"/>
    <w:rsid w:val="00891891"/>
    <w:rsid w:val="008B6876"/>
    <w:rsid w:val="008E7C66"/>
    <w:rsid w:val="009003D6"/>
    <w:rsid w:val="00901212"/>
    <w:rsid w:val="00902A2C"/>
    <w:rsid w:val="00922185"/>
    <w:rsid w:val="00936864"/>
    <w:rsid w:val="00937AB6"/>
    <w:rsid w:val="0094470F"/>
    <w:rsid w:val="00973E86"/>
    <w:rsid w:val="009842D0"/>
    <w:rsid w:val="0099395B"/>
    <w:rsid w:val="009A4B65"/>
    <w:rsid w:val="009B4D3D"/>
    <w:rsid w:val="009C39D1"/>
    <w:rsid w:val="009D156F"/>
    <w:rsid w:val="009E185B"/>
    <w:rsid w:val="00A13C44"/>
    <w:rsid w:val="00A2175C"/>
    <w:rsid w:val="00A23F38"/>
    <w:rsid w:val="00A24572"/>
    <w:rsid w:val="00A42749"/>
    <w:rsid w:val="00A43CEA"/>
    <w:rsid w:val="00A45FF2"/>
    <w:rsid w:val="00A51E71"/>
    <w:rsid w:val="00A60D4C"/>
    <w:rsid w:val="00AB0EBC"/>
    <w:rsid w:val="00AE2325"/>
    <w:rsid w:val="00AE4CDC"/>
    <w:rsid w:val="00B07879"/>
    <w:rsid w:val="00B13AC6"/>
    <w:rsid w:val="00B257C1"/>
    <w:rsid w:val="00B43BA8"/>
    <w:rsid w:val="00B601A7"/>
    <w:rsid w:val="00B6090E"/>
    <w:rsid w:val="00B61361"/>
    <w:rsid w:val="00B80E6A"/>
    <w:rsid w:val="00B9423A"/>
    <w:rsid w:val="00B96CE7"/>
    <w:rsid w:val="00BA022A"/>
    <w:rsid w:val="00BA1345"/>
    <w:rsid w:val="00BD42DD"/>
    <w:rsid w:val="00BD6BCE"/>
    <w:rsid w:val="00C12F14"/>
    <w:rsid w:val="00C348E4"/>
    <w:rsid w:val="00C3658F"/>
    <w:rsid w:val="00C44A40"/>
    <w:rsid w:val="00C45B36"/>
    <w:rsid w:val="00C72F51"/>
    <w:rsid w:val="00C7703F"/>
    <w:rsid w:val="00C807DD"/>
    <w:rsid w:val="00C97C57"/>
    <w:rsid w:val="00CC155F"/>
    <w:rsid w:val="00CC1AAA"/>
    <w:rsid w:val="00CC483F"/>
    <w:rsid w:val="00CD6D81"/>
    <w:rsid w:val="00CE4992"/>
    <w:rsid w:val="00D133FB"/>
    <w:rsid w:val="00D14B8C"/>
    <w:rsid w:val="00D3138E"/>
    <w:rsid w:val="00D327C6"/>
    <w:rsid w:val="00D72866"/>
    <w:rsid w:val="00D905D8"/>
    <w:rsid w:val="00D92008"/>
    <w:rsid w:val="00DA32BF"/>
    <w:rsid w:val="00DA6189"/>
    <w:rsid w:val="00DA7A9D"/>
    <w:rsid w:val="00DC03CE"/>
    <w:rsid w:val="00DD0EBF"/>
    <w:rsid w:val="00DE11D3"/>
    <w:rsid w:val="00DF0AA1"/>
    <w:rsid w:val="00DF4067"/>
    <w:rsid w:val="00DF44D2"/>
    <w:rsid w:val="00E85A43"/>
    <w:rsid w:val="00EA5B43"/>
    <w:rsid w:val="00EB18D0"/>
    <w:rsid w:val="00EC08ED"/>
    <w:rsid w:val="00EE61A9"/>
    <w:rsid w:val="00EE6E45"/>
    <w:rsid w:val="00EF5615"/>
    <w:rsid w:val="00F0504F"/>
    <w:rsid w:val="00F10439"/>
    <w:rsid w:val="00F112FA"/>
    <w:rsid w:val="00F42CFE"/>
    <w:rsid w:val="00F65934"/>
    <w:rsid w:val="00F65FBF"/>
    <w:rsid w:val="00FA5BA7"/>
    <w:rsid w:val="00FB41B7"/>
    <w:rsid w:val="00FC37FB"/>
    <w:rsid w:val="00FC6772"/>
    <w:rsid w:val="00FC7501"/>
    <w:rsid w:val="00FC7FB4"/>
    <w:rsid w:val="00FD380B"/>
    <w:rsid w:val="00FD53F9"/>
    <w:rsid w:val="00FE0F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F65934"/>
    <w:pPr>
      <w:keepNext/>
      <w:keepLines/>
      <w:spacing w:before="240" w:after="200"/>
      <w:outlineLvl w:val="0"/>
    </w:pPr>
    <w:rPr>
      <w:rFonts w:eastAsiaTheme="majorEastAsia" w:cstheme="majorBidi"/>
      <w:color w:val="851414"/>
      <w:sz w:val="32"/>
      <w:szCs w:val="32"/>
    </w:rPr>
  </w:style>
  <w:style w:type="paragraph" w:styleId="Heading2">
    <w:name w:val="heading 2"/>
    <w:basedOn w:val="Normal"/>
    <w:next w:val="Normal"/>
    <w:link w:val="Heading2Char"/>
    <w:uiPriority w:val="9"/>
    <w:unhideWhenUsed/>
    <w:qFormat/>
    <w:rsid w:val="00F65934"/>
    <w:pPr>
      <w:keepNext/>
      <w:keepLines/>
      <w:spacing w:before="40" w:after="120"/>
      <w:outlineLvl w:val="1"/>
    </w:pPr>
    <w:rPr>
      <w:rFonts w:eastAsiaTheme="majorEastAsia" w:cstheme="majorBidi"/>
      <w:color w:val="851414"/>
      <w:sz w:val="28"/>
      <w:szCs w:val="28"/>
    </w:rPr>
  </w:style>
  <w:style w:type="paragraph" w:styleId="Heading3">
    <w:name w:val="heading 3"/>
    <w:basedOn w:val="Normal"/>
    <w:next w:val="Normal"/>
    <w:link w:val="Heading3Char"/>
    <w:uiPriority w:val="9"/>
    <w:semiHidden/>
    <w:unhideWhenUsed/>
    <w:rsid w:val="00F65934"/>
    <w:pPr>
      <w:keepNext/>
      <w:keepLines/>
      <w:spacing w:before="40" w:after="0"/>
      <w:outlineLvl w:val="2"/>
    </w:pPr>
    <w:rPr>
      <w:rFonts w:asciiTheme="majorHAnsi" w:eastAsiaTheme="majorEastAsia" w:hAnsiTheme="majorHAnsi" w:cstheme="majorBidi"/>
      <w:color w:val="85141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5934"/>
    <w:rPr>
      <w:rFonts w:ascii="Arial" w:eastAsiaTheme="majorEastAsia" w:hAnsi="Arial" w:cstheme="majorBidi"/>
      <w:color w:val="851414"/>
      <w:sz w:val="32"/>
      <w:szCs w:val="32"/>
    </w:rPr>
  </w:style>
  <w:style w:type="character" w:customStyle="1" w:styleId="Heading2Char">
    <w:name w:val="Heading 2 Char"/>
    <w:basedOn w:val="DefaultParagraphFont"/>
    <w:link w:val="Heading2"/>
    <w:uiPriority w:val="9"/>
    <w:rsid w:val="00F65934"/>
    <w:rPr>
      <w:rFonts w:ascii="Arial" w:eastAsiaTheme="majorEastAsia" w:hAnsi="Arial" w:cstheme="majorBidi"/>
      <w:color w:val="851414"/>
      <w:sz w:val="28"/>
      <w:szCs w:val="28"/>
    </w:rPr>
  </w:style>
  <w:style w:type="paragraph" w:styleId="Title">
    <w:name w:val="Title"/>
    <w:basedOn w:val="Normal"/>
    <w:next w:val="Normal"/>
    <w:link w:val="TitleChar"/>
    <w:uiPriority w:val="10"/>
    <w:qFormat/>
    <w:rsid w:val="00F65934"/>
    <w:pPr>
      <w:pBdr>
        <w:top w:val="single" w:sz="4" w:space="6" w:color="FFFFFF" w:themeColor="background1"/>
        <w:left w:val="single" w:sz="4" w:space="10" w:color="FFFFFF" w:themeColor="background1"/>
        <w:bottom w:val="single" w:sz="4" w:space="8" w:color="FFFFFF" w:themeColor="background1"/>
        <w:right w:val="single" w:sz="4" w:space="10" w:color="FFFFFF" w:themeColor="background1"/>
      </w:pBdr>
      <w:shd w:val="clear" w:color="auto" w:fill="EEDDDD"/>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F65934"/>
    <w:rPr>
      <w:rFonts w:ascii="Arial" w:eastAsiaTheme="majorEastAsia" w:hAnsi="Arial" w:cstheme="majorBidi"/>
      <w:b/>
      <w:bCs/>
      <w:color w:val="0D0D0D" w:themeColor="text1" w:themeTint="F2"/>
      <w:spacing w:val="-10"/>
      <w:kern w:val="28"/>
      <w:sz w:val="72"/>
      <w:szCs w:val="72"/>
      <w:shd w:val="clear" w:color="auto" w:fill="EEDDDD"/>
    </w:rPr>
  </w:style>
  <w:style w:type="paragraph" w:styleId="Subtitle">
    <w:name w:val="Subtitle"/>
    <w:basedOn w:val="Normal"/>
    <w:next w:val="Normal"/>
    <w:link w:val="SubtitleChar"/>
    <w:uiPriority w:val="11"/>
    <w:qFormat/>
    <w:rsid w:val="00F65934"/>
    <w:pPr>
      <w:numPr>
        <w:ilvl w:val="1"/>
      </w:numPr>
      <w:spacing w:after="120"/>
      <w:jc w:val="center"/>
    </w:pPr>
    <w:rPr>
      <w:rFonts w:eastAsiaTheme="minorEastAsia"/>
      <w:color w:val="851414"/>
      <w:spacing w:val="15"/>
      <w:sz w:val="36"/>
      <w:szCs w:val="28"/>
    </w:rPr>
  </w:style>
  <w:style w:type="character" w:customStyle="1" w:styleId="SubtitleChar">
    <w:name w:val="Subtitle Char"/>
    <w:basedOn w:val="DefaultParagraphFont"/>
    <w:link w:val="Subtitle"/>
    <w:uiPriority w:val="11"/>
    <w:rsid w:val="00F65934"/>
    <w:rPr>
      <w:rFonts w:ascii="Arial" w:eastAsiaTheme="minorEastAsia" w:hAnsi="Arial"/>
      <w:color w:val="851414"/>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F65934"/>
    <w:pPr>
      <w:pBdr>
        <w:top w:val="single" w:sz="12" w:space="8" w:color="851414"/>
        <w:bottom w:val="single" w:sz="12" w:space="8" w:color="851414"/>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F65934"/>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F65934"/>
    <w:pPr>
      <w:shd w:val="clear" w:color="auto" w:fill="EEDDDD"/>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F65934"/>
    <w:rPr>
      <w:rFonts w:ascii="Arial Narrow" w:hAnsi="Arial Narrow"/>
      <w:caps/>
      <w:color w:val="851414"/>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paragraph" w:customStyle="1" w:styleId="Write-onlines">
    <w:name w:val="Write-on lines"/>
    <w:basedOn w:val="Normal"/>
    <w:qFormat/>
    <w:rsid w:val="00634C07"/>
    <w:pPr>
      <w:pBdr>
        <w:between w:val="single" w:sz="6" w:space="1" w:color="auto"/>
      </w:pBdr>
      <w:spacing w:line="240" w:lineRule="auto"/>
    </w:pPr>
  </w:style>
  <w:style w:type="character" w:customStyle="1" w:styleId="Heading3Char">
    <w:name w:val="Heading 3 Char"/>
    <w:basedOn w:val="DefaultParagraphFont"/>
    <w:link w:val="Heading3"/>
    <w:uiPriority w:val="9"/>
    <w:semiHidden/>
    <w:rsid w:val="00F65934"/>
    <w:rPr>
      <w:rFonts w:asciiTheme="majorHAnsi" w:eastAsiaTheme="majorEastAsia" w:hAnsiTheme="majorHAnsi" w:cstheme="majorBidi"/>
      <w:color w:val="851414"/>
      <w:sz w:val="24"/>
      <w:szCs w:val="24"/>
    </w:rPr>
  </w:style>
  <w:style w:type="character" w:styleId="CommentReference">
    <w:name w:val="annotation reference"/>
    <w:basedOn w:val="DefaultParagraphFont"/>
    <w:uiPriority w:val="99"/>
    <w:semiHidden/>
    <w:unhideWhenUsed/>
    <w:rsid w:val="007D2C0C"/>
    <w:rPr>
      <w:sz w:val="16"/>
      <w:szCs w:val="16"/>
    </w:rPr>
  </w:style>
  <w:style w:type="paragraph" w:styleId="CommentText">
    <w:name w:val="annotation text"/>
    <w:basedOn w:val="Normal"/>
    <w:link w:val="CommentTextChar"/>
    <w:uiPriority w:val="99"/>
    <w:unhideWhenUsed/>
    <w:rsid w:val="007D2C0C"/>
    <w:pPr>
      <w:spacing w:line="240" w:lineRule="auto"/>
    </w:pPr>
    <w:rPr>
      <w:sz w:val="20"/>
      <w:szCs w:val="20"/>
    </w:rPr>
  </w:style>
  <w:style w:type="character" w:customStyle="1" w:styleId="CommentTextChar">
    <w:name w:val="Comment Text Char"/>
    <w:basedOn w:val="DefaultParagraphFont"/>
    <w:link w:val="CommentText"/>
    <w:uiPriority w:val="99"/>
    <w:rsid w:val="007D2C0C"/>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7D2C0C"/>
    <w:rPr>
      <w:b/>
      <w:bCs/>
    </w:rPr>
  </w:style>
  <w:style w:type="character" w:customStyle="1" w:styleId="CommentSubjectChar">
    <w:name w:val="Comment Subject Char"/>
    <w:basedOn w:val="CommentTextChar"/>
    <w:link w:val="CommentSubject"/>
    <w:uiPriority w:val="99"/>
    <w:semiHidden/>
    <w:rsid w:val="007D2C0C"/>
    <w:rPr>
      <w:rFonts w:ascii="Arial" w:hAnsi="Arial"/>
      <w:b/>
      <w:bCs/>
      <w:color w:val="0D0D0D" w:themeColor="text1" w:themeTint="F2"/>
      <w:sz w:val="20"/>
      <w:szCs w:val="20"/>
    </w:rPr>
  </w:style>
  <w:style w:type="paragraph" w:styleId="Revision">
    <w:name w:val="Revision"/>
    <w:hidden/>
    <w:uiPriority w:val="99"/>
    <w:semiHidden/>
    <w:rsid w:val="00F65FBF"/>
    <w:pPr>
      <w:spacing w:after="0" w:line="240" w:lineRule="auto"/>
    </w:pPr>
    <w:rPr>
      <w:rFonts w:ascii="Arial" w:hAnsi="Arial"/>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cdffdc306f3439ad6324f00535c3ac53">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6e98b73cff4ebd998fae74a5787f2da4"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CC80FCC4-BA8B-4EA5-909A-FBEACD1C60E8}"/>
</file>

<file path=customXml/itemProps3.xml><?xml version="1.0" encoding="utf-8"?>
<ds:datastoreItem xmlns:ds="http://schemas.openxmlformats.org/officeDocument/2006/customXml" ds:itemID="{5414E79B-FF1F-4DB7-A3E0-6D901CD24E31}"/>
</file>

<file path=customXml/itemProps4.xml><?xml version="1.0" encoding="utf-8"?>
<ds:datastoreItem xmlns:ds="http://schemas.openxmlformats.org/officeDocument/2006/customXml" ds:itemID="{A5E0CF74-74D6-48B1-831D-F61730A2D13A}"/>
</file>

<file path=docProps/app.xml><?xml version="1.0" encoding="utf-8"?>
<Properties xmlns="http://schemas.openxmlformats.org/officeDocument/2006/extended-properties" xmlns:vt="http://schemas.openxmlformats.org/officeDocument/2006/docPropsVTypes">
  <Template>Normal</Template>
  <TotalTime>0</TotalTime>
  <Pages>3</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2026-06-01T16:37:00Z</dcterms:created>
  <dcterms:modified xsi:type="dcterms:W3CDTF">2026-06-01T16:37:00Z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