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3EA7" w14:textId="60D834E0" w:rsidR="006308DD" w:rsidRDefault="0011254D" w:rsidP="0011254D">
      <w:pPr>
        <w:pStyle w:val="Chapter"/>
        <w:spacing w:before="0"/>
      </w:pPr>
      <w:bookmarkStart w:id="0" w:name="_Toc137031731"/>
      <w:bookmarkStart w:id="1" w:name="_Toc137031855"/>
      <w:r>
        <w:t>Activity</w:t>
      </w:r>
      <w:r w:rsidR="00EE61A9" w:rsidRPr="003462B1">
        <w:t xml:space="preserve"> </w:t>
      </w:r>
      <w:r w:rsidR="00DA5DB5">
        <w:t>1</w:t>
      </w:r>
      <w:r w:rsidR="00EE61A9" w:rsidRPr="003462B1">
        <w:t xml:space="preserve">: </w:t>
      </w:r>
      <w:bookmarkStart w:id="2" w:name="_Hlk138416276"/>
      <w:r w:rsidR="00F31652">
        <w:t>The importance of health</w:t>
      </w:r>
      <w:r w:rsidR="00BB3AEF">
        <w:t xml:space="preserve">, </w:t>
      </w:r>
      <w:r w:rsidR="00F31652">
        <w:t>safety</w:t>
      </w:r>
      <w:r w:rsidR="00BB3AEF">
        <w:t xml:space="preserve"> and welfare </w:t>
      </w:r>
      <w:r w:rsidR="006A7F78">
        <w:t xml:space="preserve">example </w:t>
      </w:r>
      <w:r w:rsidR="00A47409">
        <w:t>answers</w:t>
      </w:r>
    </w:p>
    <w:bookmarkEnd w:id="0"/>
    <w:bookmarkEnd w:id="1"/>
    <w:bookmarkEnd w:id="2"/>
    <w:p w14:paraId="6B7C24C5" w14:textId="7283282E" w:rsidR="00550B94" w:rsidRDefault="009D06F1" w:rsidP="002073A7">
      <w:r>
        <w:t xml:space="preserve">List reasons to comply with health, safety and welfare legislation from </w:t>
      </w:r>
      <w:r w:rsidR="00550B94">
        <w:t>different</w:t>
      </w:r>
      <w:r>
        <w:t xml:space="preserve"> perspectives</w:t>
      </w:r>
      <w:r w:rsidR="00550B94">
        <w:t>.</w:t>
      </w:r>
    </w:p>
    <w:p w14:paraId="3BFB2248" w14:textId="6B6A639B" w:rsidR="00525948" w:rsidRPr="00DE1069" w:rsidRDefault="009234BC" w:rsidP="00DE1069">
      <w:pPr>
        <w:rPr>
          <w:u w:val="single"/>
        </w:rPr>
      </w:pPr>
      <w:r w:rsidRPr="00DE1069">
        <w:rPr>
          <w:u w:val="single"/>
        </w:rPr>
        <w:t>Legal</w:t>
      </w:r>
      <w:r w:rsidR="00550B94" w:rsidRPr="00DE1069">
        <w:rPr>
          <w:u w:val="single"/>
        </w:rPr>
        <w:t xml:space="preserve"> perspective</w:t>
      </w:r>
    </w:p>
    <w:p w14:paraId="648D3746" w14:textId="5D169644" w:rsidR="00B05DC0" w:rsidRDefault="00913607" w:rsidP="004A5BCF">
      <w:pPr>
        <w:pStyle w:val="ListParagraph"/>
        <w:numPr>
          <w:ilvl w:val="0"/>
          <w:numId w:val="28"/>
        </w:numPr>
      </w:pPr>
      <w:r>
        <w:t>C</w:t>
      </w:r>
      <w:r w:rsidR="00B05DC0">
        <w:t>omplying with legal responsibilities ensures everyone goes home at the end of each day</w:t>
      </w:r>
      <w:r>
        <w:t>.</w:t>
      </w:r>
    </w:p>
    <w:p w14:paraId="1D6D517F" w14:textId="625502BF" w:rsidR="008605E3" w:rsidRDefault="008605E3" w:rsidP="004A5BCF">
      <w:pPr>
        <w:pStyle w:val="ListParagraph"/>
        <w:numPr>
          <w:ilvl w:val="0"/>
          <w:numId w:val="28"/>
        </w:numPr>
      </w:pPr>
      <w:r w:rsidRPr="008605E3">
        <w:t xml:space="preserve">Complying with legislation helps demonstrate </w:t>
      </w:r>
      <w:r w:rsidR="00BA6239">
        <w:t xml:space="preserve">that </w:t>
      </w:r>
      <w:r w:rsidRPr="008605E3">
        <w:t>all reasonable steps have been taken to protect everyone and potentially reduces liability for civil claims of damages.</w:t>
      </w:r>
    </w:p>
    <w:p w14:paraId="6B510B7E" w14:textId="6EC70159" w:rsidR="001D1F73" w:rsidRDefault="001D1F73" w:rsidP="004A5BCF">
      <w:pPr>
        <w:pStyle w:val="ListParagraph"/>
        <w:numPr>
          <w:ilvl w:val="0"/>
          <w:numId w:val="28"/>
        </w:numPr>
      </w:pPr>
      <w:r w:rsidRPr="001D1F73">
        <w:t>Complying with health and safety legislation reduces the risk of improvement or enforcement notices, or criminal prosecution.</w:t>
      </w:r>
    </w:p>
    <w:p w14:paraId="046F1E3C" w14:textId="7C2025CA" w:rsidR="00484B71" w:rsidRPr="00DE1069" w:rsidRDefault="00B33123" w:rsidP="00DE1069">
      <w:pPr>
        <w:spacing w:before="240"/>
        <w:rPr>
          <w:u w:val="single"/>
        </w:rPr>
      </w:pPr>
      <w:r w:rsidRPr="00DE1069">
        <w:rPr>
          <w:u w:val="single"/>
        </w:rPr>
        <w:t>Financial</w:t>
      </w:r>
      <w:r w:rsidR="00550B94" w:rsidRPr="00DE1069">
        <w:rPr>
          <w:u w:val="single"/>
        </w:rPr>
        <w:t xml:space="preserve"> perspective</w:t>
      </w:r>
    </w:p>
    <w:p w14:paraId="0CB8A479" w14:textId="77777777" w:rsidR="008B075C" w:rsidRDefault="008B075C" w:rsidP="004A5BCF">
      <w:pPr>
        <w:pStyle w:val="ListParagraph"/>
        <w:numPr>
          <w:ilvl w:val="0"/>
          <w:numId w:val="29"/>
        </w:numPr>
      </w:pPr>
      <w:r w:rsidRPr="008B075C">
        <w:t xml:space="preserve">Good health and safety management can help avoid fines and financial penalties. </w:t>
      </w:r>
    </w:p>
    <w:p w14:paraId="00B2F302" w14:textId="246DD322" w:rsidR="00550B94" w:rsidRPr="002073A7" w:rsidRDefault="001060F7" w:rsidP="004A5BCF">
      <w:pPr>
        <w:pStyle w:val="ListParagraph"/>
        <w:numPr>
          <w:ilvl w:val="0"/>
          <w:numId w:val="29"/>
        </w:numPr>
      </w:pPr>
      <w:r>
        <w:t>Minimising accidents can r</w:t>
      </w:r>
      <w:r w:rsidR="00E70737" w:rsidRPr="002073A7">
        <w:t xml:space="preserve">educe </w:t>
      </w:r>
      <w:r w:rsidR="00175147" w:rsidRPr="002073A7">
        <w:t>insurance premiums</w:t>
      </w:r>
      <w:r w:rsidR="00913607">
        <w:t>.</w:t>
      </w:r>
    </w:p>
    <w:p w14:paraId="23B1A104" w14:textId="5B2EFCE5" w:rsidR="00175147" w:rsidRDefault="001060F7" w:rsidP="004A5BCF">
      <w:pPr>
        <w:pStyle w:val="ListParagraph"/>
        <w:numPr>
          <w:ilvl w:val="0"/>
          <w:numId w:val="29"/>
        </w:numPr>
      </w:pPr>
      <w:r>
        <w:t>Good health and safety practices s</w:t>
      </w:r>
      <w:r w:rsidR="005A0999" w:rsidRPr="002073A7">
        <w:t>ave time and money by preventing accidents, reducing downtime and improving productivity</w:t>
      </w:r>
      <w:r w:rsidR="00913607">
        <w:t>.</w:t>
      </w:r>
    </w:p>
    <w:p w14:paraId="2A9CDE0C" w14:textId="7DA431D3" w:rsidR="00EB308E" w:rsidRPr="002073A7" w:rsidRDefault="00EB308E" w:rsidP="004A5BCF">
      <w:pPr>
        <w:pStyle w:val="ListParagraph"/>
        <w:numPr>
          <w:ilvl w:val="0"/>
          <w:numId w:val="29"/>
        </w:numPr>
      </w:pPr>
      <w:r w:rsidRPr="00EB308E">
        <w:t>Implementing safe systems of work can identify potential risks to equipment and other assets at an early stage and reduce potential risk of damage and replacement of machinery, tools and property.</w:t>
      </w:r>
    </w:p>
    <w:p w14:paraId="15A7F431" w14:textId="73B3088E" w:rsidR="00525948" w:rsidRPr="00DE1069" w:rsidRDefault="00EE4ED2" w:rsidP="00DE1069">
      <w:pPr>
        <w:spacing w:before="240"/>
        <w:rPr>
          <w:u w:val="single"/>
        </w:rPr>
      </w:pPr>
      <w:r w:rsidRPr="00DE1069">
        <w:rPr>
          <w:u w:val="single"/>
        </w:rPr>
        <w:t>Rep</w:t>
      </w:r>
      <w:r w:rsidR="00550B94" w:rsidRPr="00DE1069">
        <w:rPr>
          <w:u w:val="single"/>
        </w:rPr>
        <w:t>u</w:t>
      </w:r>
      <w:r w:rsidRPr="00DE1069">
        <w:rPr>
          <w:u w:val="single"/>
        </w:rPr>
        <w:t>tational</w:t>
      </w:r>
      <w:r w:rsidR="00550B94" w:rsidRPr="00DE1069">
        <w:rPr>
          <w:u w:val="single"/>
        </w:rPr>
        <w:t xml:space="preserve"> perspective</w:t>
      </w:r>
    </w:p>
    <w:p w14:paraId="0B7F897A" w14:textId="49554ABA" w:rsidR="002833F2" w:rsidRDefault="00D9297C" w:rsidP="004A5BCF">
      <w:pPr>
        <w:pStyle w:val="ListParagraph"/>
        <w:numPr>
          <w:ilvl w:val="0"/>
          <w:numId w:val="30"/>
        </w:numPr>
      </w:pPr>
      <w:r w:rsidRPr="002073A7">
        <w:t xml:space="preserve">A good health and safety reputation </w:t>
      </w:r>
      <w:r w:rsidR="00E377D6" w:rsidRPr="002073A7">
        <w:t xml:space="preserve">can help </w:t>
      </w:r>
      <w:r w:rsidR="00896FC1">
        <w:t xml:space="preserve">a business </w:t>
      </w:r>
      <w:r w:rsidR="00E377D6" w:rsidRPr="002073A7">
        <w:t>to retain and attract clients</w:t>
      </w:r>
      <w:r w:rsidR="00913607">
        <w:t>.</w:t>
      </w:r>
    </w:p>
    <w:p w14:paraId="04D3D5CD" w14:textId="490602C1" w:rsidR="006B4B89" w:rsidRDefault="006B4B89" w:rsidP="004A5BCF">
      <w:pPr>
        <w:pStyle w:val="ListParagraph"/>
        <w:numPr>
          <w:ilvl w:val="0"/>
          <w:numId w:val="30"/>
        </w:numPr>
      </w:pPr>
      <w:r w:rsidRPr="006B4B89">
        <w:t>A reputation for taking health and safety seriously helps maintain public trust and reduces the risk of attracting negative media attention.</w:t>
      </w:r>
    </w:p>
    <w:p w14:paraId="29D254CB" w14:textId="14475ED2" w:rsidR="00A76BCB" w:rsidRPr="002073A7" w:rsidRDefault="00A76BCB" w:rsidP="004A5BCF">
      <w:pPr>
        <w:pStyle w:val="ListParagraph"/>
        <w:numPr>
          <w:ilvl w:val="0"/>
          <w:numId w:val="30"/>
        </w:numPr>
      </w:pPr>
      <w:r w:rsidRPr="00A76BCB">
        <w:t xml:space="preserve">A positive reputation for health and safety </w:t>
      </w:r>
      <w:r w:rsidR="00DA0B43">
        <w:t>can</w:t>
      </w:r>
      <w:r w:rsidRPr="00A76BCB">
        <w:t xml:space="preserve"> make a business more attractive to potential new staff.</w:t>
      </w:r>
    </w:p>
    <w:p w14:paraId="33D6814B" w14:textId="3A78D444" w:rsidR="006C021A" w:rsidRPr="00DE1069" w:rsidRDefault="00550B94" w:rsidP="00DE1069">
      <w:pPr>
        <w:spacing w:before="240"/>
        <w:rPr>
          <w:u w:val="single"/>
        </w:rPr>
      </w:pPr>
      <w:r w:rsidRPr="00DE1069">
        <w:rPr>
          <w:u w:val="single"/>
        </w:rPr>
        <w:t>Individual/employee perspective</w:t>
      </w:r>
    </w:p>
    <w:p w14:paraId="733BC766" w14:textId="77777777" w:rsidR="000E2FAD" w:rsidRDefault="00563B2F" w:rsidP="004A5BCF">
      <w:pPr>
        <w:pStyle w:val="ListParagraph"/>
        <w:numPr>
          <w:ilvl w:val="0"/>
          <w:numId w:val="31"/>
        </w:numPr>
      </w:pPr>
      <w:r w:rsidRPr="00563B2F">
        <w:t xml:space="preserve">Minimising potential injuries to colleagues means everyone can enjoy life outside of work. </w:t>
      </w:r>
    </w:p>
    <w:p w14:paraId="3892E857" w14:textId="3D975F9C" w:rsidR="009F361C" w:rsidRDefault="00563B2F" w:rsidP="004A5BCF">
      <w:pPr>
        <w:pStyle w:val="ListParagraph"/>
        <w:numPr>
          <w:ilvl w:val="0"/>
          <w:numId w:val="31"/>
        </w:numPr>
      </w:pPr>
      <w:r w:rsidRPr="00563B2F">
        <w:t>Effective health and safety practices can have a positive impact on staff morale and productivity because staff feel valued and supported.</w:t>
      </w:r>
    </w:p>
    <w:p w14:paraId="3581C19F" w14:textId="08820111" w:rsidR="00563B2F" w:rsidRDefault="0058759F" w:rsidP="004A5BCF">
      <w:pPr>
        <w:pStyle w:val="ListParagraph"/>
        <w:numPr>
          <w:ilvl w:val="0"/>
          <w:numId w:val="31"/>
        </w:numPr>
      </w:pPr>
      <w:r w:rsidRPr="0058759F">
        <w:t>Creating a safe working environment can help reduce staff turnover and sickness absence.</w:t>
      </w:r>
    </w:p>
    <w:p w14:paraId="252EFEA1" w14:textId="122B435D" w:rsidR="00C846DD" w:rsidRPr="00525948" w:rsidRDefault="00C846DD" w:rsidP="004A5BCF">
      <w:pPr>
        <w:pStyle w:val="ListParagraph"/>
        <w:numPr>
          <w:ilvl w:val="0"/>
          <w:numId w:val="31"/>
        </w:numPr>
      </w:pPr>
      <w:r w:rsidRPr="00C846DD">
        <w:t>Compliance with health and safety legislation can protect staff from physical injuries, long</w:t>
      </w:r>
      <w:r w:rsidR="000E2FAD">
        <w:t>-</w:t>
      </w:r>
      <w:r w:rsidRPr="00C846DD">
        <w:t>term health conditions, workplace stress and loss of independence.</w:t>
      </w:r>
    </w:p>
    <w:sectPr w:rsidR="00C846DD" w:rsidRPr="00525948" w:rsidSect="00DE1069">
      <w:headerReference w:type="default" r:id="rId8"/>
      <w:footerReference w:type="default" r:id="rId9"/>
      <w:type w:val="continuous"/>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883B" w14:textId="77777777" w:rsidR="00BB6A74" w:rsidRDefault="00BB6A74" w:rsidP="000C51BB">
      <w:pPr>
        <w:spacing w:after="0" w:line="240" w:lineRule="auto"/>
      </w:pPr>
      <w:r>
        <w:separator/>
      </w:r>
    </w:p>
  </w:endnote>
  <w:endnote w:type="continuationSeparator" w:id="0">
    <w:p w14:paraId="281AFC79" w14:textId="77777777" w:rsidR="00BB6A74" w:rsidRDefault="00BB6A7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p w14:paraId="1AA0C04C" w14:textId="77777777" w:rsidR="006A42C1" w:rsidRDefault="006A42C1" w:rsidP="00F112FA">
        <w:pPr>
          <w:pStyle w:val="Footer"/>
          <w:jc w:val="right"/>
          <w:rPr>
            <w:sz w:val="20"/>
            <w:szCs w:val="20"/>
          </w:rPr>
        </w:pPr>
      </w:p>
      <w:sdt>
        <w:sdtPr>
          <w:rPr>
            <w:sz w:val="20"/>
            <w:szCs w:val="20"/>
          </w:rPr>
          <w:id w:val="-635027481"/>
          <w:docPartObj>
            <w:docPartGallery w:val="Page Numbers (Bottom of Page)"/>
            <w:docPartUnique/>
          </w:docPartObj>
        </w:sdtPr>
        <w:sdtEndPr>
          <w:rPr>
            <w:noProof/>
            <w:color w:val="808080" w:themeColor="background1" w:themeShade="80"/>
          </w:rPr>
        </w:sdtEndPr>
        <w:sdtContent>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4997"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364"/>
                  <w:gridCol w:w="3849"/>
                </w:tblGrid>
                <w:tr w:rsidR="00031572" w14:paraId="78BEFF50" w14:textId="77777777" w:rsidTr="00DB5560">
                  <w:tc>
                    <w:tcPr>
                      <w:tcW w:w="5000" w:type="pct"/>
                      <w:gridSpan w:val="2"/>
                      <w:tcBorders>
                        <w:bottom w:val="nil"/>
                      </w:tcBorders>
                    </w:tcPr>
                    <w:p w14:paraId="063D4CFB" w14:textId="64F904B8" w:rsidR="00031572" w:rsidRDefault="00937AB6" w:rsidP="00031572">
                      <w:pPr>
                        <w:pStyle w:val="Header"/>
                        <w:spacing w:after="120"/>
                        <w:rPr>
                          <w:sz w:val="18"/>
                          <w:szCs w:val="18"/>
                        </w:rPr>
                      </w:pPr>
                      <w:r w:rsidRPr="00937AB6">
                        <w:rPr>
                          <w:sz w:val="20"/>
                          <w:szCs w:val="20"/>
                        </w:rPr>
                        <w:t>Agriculture, Environmental and Animal Care</w:t>
                      </w:r>
                      <w:r w:rsidR="000638CB">
                        <w:rPr>
                          <w:sz w:val="20"/>
                          <w:szCs w:val="20"/>
                        </w:rPr>
                        <w:t>:</w:t>
                      </w:r>
                      <w:r w:rsidR="00031572">
                        <w:rPr>
                          <w:noProof/>
                          <w:sz w:val="20"/>
                          <w:szCs w:val="20"/>
                        </w:rPr>
                        <w:t xml:space="preserve"> </w:t>
                      </w:r>
                      <w:r w:rsidR="00DE1069">
                        <w:rPr>
                          <w:noProof/>
                          <w:sz w:val="20"/>
                          <w:szCs w:val="20"/>
                        </w:rPr>
                        <w:t>Health and safety</w:t>
                      </w:r>
                    </w:p>
                  </w:tc>
                </w:tr>
                <w:tr w:rsidR="00031572" w14:paraId="0B53C544" w14:textId="77777777" w:rsidTr="00DB5560">
                  <w:tc>
                    <w:tcPr>
                      <w:tcW w:w="2911" w:type="pct"/>
                      <w:tcBorders>
                        <w:top w:val="nil"/>
                        <w:bottom w:val="single" w:sz="12" w:space="0" w:color="EEDDDD"/>
                      </w:tcBorders>
                    </w:tcPr>
                    <w:p w14:paraId="5255A0DD" w14:textId="542585D5" w:rsidR="00031572" w:rsidRDefault="00031572" w:rsidP="00031572">
                      <w:pPr>
                        <w:pStyle w:val="Header"/>
                        <w:spacing w:after="120"/>
                        <w:rPr>
                          <w:sz w:val="20"/>
                          <w:szCs w:val="20"/>
                        </w:rPr>
                      </w:pPr>
                      <w:r>
                        <w:rPr>
                          <w:noProof/>
                          <w:sz w:val="20"/>
                          <w:szCs w:val="20"/>
                        </w:rPr>
                        <w:t xml:space="preserve">Version 1, </w:t>
                      </w:r>
                      <w:r w:rsidR="00914747">
                        <w:rPr>
                          <w:noProof/>
                          <w:sz w:val="20"/>
                          <w:szCs w:val="20"/>
                        </w:rPr>
                        <w:t>June</w:t>
                      </w:r>
                      <w:r w:rsidR="00DE1069">
                        <w:rPr>
                          <w:noProof/>
                          <w:sz w:val="20"/>
                          <w:szCs w:val="20"/>
                        </w:rPr>
                        <w:t xml:space="preserve"> 2026</w:t>
                      </w:r>
                    </w:p>
                  </w:tc>
                  <w:tc>
                    <w:tcPr>
                      <w:tcW w:w="2089" w:type="pct"/>
                      <w:tcBorders>
                        <w:top w:val="nil"/>
                        <w:bottom w:val="single" w:sz="12" w:space="0" w:color="EEDDDD"/>
                      </w:tcBorders>
                      <w:vAlign w:val="bottom"/>
                    </w:tcPr>
                    <w:p w14:paraId="3A09216A" w14:textId="64245C23" w:rsidR="00031572" w:rsidRDefault="00031572" w:rsidP="00031572">
                      <w:pPr>
                        <w:pStyle w:val="Header"/>
                        <w:spacing w:after="120"/>
                        <w:jc w:val="right"/>
                        <w:rPr>
                          <w:sz w:val="20"/>
                          <w:szCs w:val="20"/>
                        </w:rPr>
                      </w:pPr>
                      <w:r>
                        <w:rPr>
                          <w:sz w:val="18"/>
                          <w:szCs w:val="18"/>
                        </w:rPr>
                        <w:t xml:space="preserve">© Gatsby Technical Education Projects </w:t>
                      </w:r>
                      <w:r w:rsidR="006F4FF7">
                        <w:rPr>
                          <w:sz w:val="18"/>
                          <w:szCs w:val="18"/>
                        </w:rPr>
                        <w:t>202</w:t>
                      </w:r>
                      <w:r w:rsidR="00F0504F">
                        <w:rPr>
                          <w:sz w:val="18"/>
                          <w:szCs w:val="18"/>
                        </w:rPr>
                        <w:t>6</w:t>
                      </w:r>
                    </w:p>
                  </w:tc>
                </w:tr>
              </w:tbl>
              <w:p w14:paraId="27C36871" w14:textId="77777777" w:rsidR="00031572" w:rsidRDefault="00031572" w:rsidP="00031572">
                <w:pPr>
                  <w:pStyle w:val="Footer"/>
                  <w:jc w:val="right"/>
                  <w:rPr>
                    <w:sz w:val="20"/>
                    <w:szCs w:val="20"/>
                  </w:rPr>
                </w:pPr>
              </w:p>
              <w:p w14:paraId="37F140C6" w14:textId="6463F179" w:rsidR="006A42C1" w:rsidRPr="0099395B" w:rsidRDefault="00031572" w:rsidP="0003157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5DF5" w14:textId="77777777" w:rsidR="00BB6A74" w:rsidRDefault="00BB6A74" w:rsidP="000C51BB">
      <w:pPr>
        <w:spacing w:after="0" w:line="240" w:lineRule="auto"/>
      </w:pPr>
      <w:r>
        <w:separator/>
      </w:r>
    </w:p>
  </w:footnote>
  <w:footnote w:type="continuationSeparator" w:id="0">
    <w:p w14:paraId="6E0410FB" w14:textId="77777777" w:rsidR="00BB6A74" w:rsidRDefault="00BB6A7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76"/>
      <w:gridCol w:w="7043"/>
    </w:tblGrid>
    <w:tr w:rsidR="006A42C1" w14:paraId="2035A0CD" w14:textId="77777777" w:rsidTr="00F65934">
      <w:tc>
        <w:tcPr>
          <w:tcW w:w="1180" w:type="pct"/>
          <w:tcBorders>
            <w:bottom w:val="single" w:sz="12" w:space="0" w:color="EEDDDD"/>
          </w:tcBorders>
        </w:tcPr>
        <w:p w14:paraId="43ACD7DC" w14:textId="77777777" w:rsidR="006A42C1" w:rsidRDefault="006A42C1" w:rsidP="00225715">
          <w:pPr>
            <w:pStyle w:val="Header"/>
            <w:spacing w:after="120"/>
            <w:rPr>
              <w:sz w:val="20"/>
              <w:szCs w:val="20"/>
            </w:rPr>
          </w:pPr>
        </w:p>
      </w:tc>
      <w:tc>
        <w:tcPr>
          <w:tcW w:w="3820" w:type="pct"/>
          <w:tcBorders>
            <w:bottom w:val="single" w:sz="12" w:space="0" w:color="EEDDDD"/>
          </w:tcBorders>
        </w:tcPr>
        <w:p w14:paraId="185E1F9F" w14:textId="77777777" w:rsidR="00DE1069" w:rsidRDefault="00DE1069" w:rsidP="00DE1069">
          <w:pPr>
            <w:pStyle w:val="Header"/>
            <w:spacing w:after="120"/>
            <w:jc w:val="right"/>
            <w:rPr>
              <w:sz w:val="20"/>
              <w:szCs w:val="20"/>
            </w:rPr>
          </w:pPr>
          <w:r>
            <w:rPr>
              <w:sz w:val="20"/>
              <w:szCs w:val="20"/>
            </w:rPr>
            <w:t>Resource</w:t>
          </w:r>
          <w:r w:rsidRPr="000F0146">
            <w:rPr>
              <w:sz w:val="20"/>
              <w:szCs w:val="20"/>
            </w:rPr>
            <w:t xml:space="preserve"> </w:t>
          </w:r>
          <w:r>
            <w:rPr>
              <w:sz w:val="20"/>
              <w:szCs w:val="20"/>
            </w:rPr>
            <w:t>1</w:t>
          </w:r>
          <w:r w:rsidRPr="000F0146">
            <w:rPr>
              <w:sz w:val="20"/>
              <w:szCs w:val="20"/>
            </w:rPr>
            <w:t xml:space="preserve">: </w:t>
          </w:r>
          <w:r w:rsidRPr="00203BAA">
            <w:rPr>
              <w:sz w:val="20"/>
              <w:szCs w:val="20"/>
            </w:rPr>
            <w:t>The importance of health, safety and welfare</w:t>
          </w:r>
        </w:p>
        <w:p w14:paraId="6FEE335E" w14:textId="0525B8A2" w:rsidR="006A42C1" w:rsidRDefault="006A42C1" w:rsidP="00225715">
          <w:pPr>
            <w:pStyle w:val="Header"/>
            <w:spacing w:after="120"/>
            <w:jc w:val="right"/>
            <w:rPr>
              <w:sz w:val="20"/>
              <w:szCs w:val="20"/>
            </w:rPr>
          </w:pPr>
          <w:r w:rsidRPr="000F0146">
            <w:rPr>
              <w:sz w:val="20"/>
              <w:szCs w:val="20"/>
            </w:rPr>
            <w:t xml:space="preserve">Activity </w:t>
          </w:r>
          <w:r w:rsidR="00DE1069">
            <w:rPr>
              <w:sz w:val="20"/>
              <w:szCs w:val="20"/>
            </w:rPr>
            <w:t>1</w:t>
          </w:r>
          <w:r w:rsidR="00BD42DD">
            <w:rPr>
              <w:sz w:val="20"/>
              <w:szCs w:val="20"/>
            </w:rPr>
            <w:t xml:space="preserve"> Worksheet</w:t>
          </w:r>
          <w:r w:rsidR="00DE1069">
            <w:rPr>
              <w:sz w:val="20"/>
              <w:szCs w:val="20"/>
            </w:rPr>
            <w:t xml:space="preserve"> answers</w:t>
          </w:r>
        </w:p>
      </w:tc>
    </w:tr>
  </w:tbl>
  <w:p w14:paraId="4466917E" w14:textId="77777777" w:rsidR="006A42C1" w:rsidRPr="00862C5D" w:rsidRDefault="006A42C1" w:rsidP="00862C5D">
    <w:pPr>
      <w:pStyle w:val="Header"/>
      <w:rPr>
        <w:sz w:val="20"/>
        <w:szCs w:val="20"/>
      </w:rPr>
    </w:pPr>
    <w:r>
      <w:rPr>
        <w:noProof/>
        <w:sz w:val="20"/>
        <w:szCs w:val="20"/>
      </w:rPr>
      <w:drawing>
        <wp:anchor distT="0" distB="0" distL="114300" distR="114300" simplePos="0" relativeHeight="251662336" behindDoc="0" locked="0" layoutInCell="1" allowOverlap="1" wp14:anchorId="2DE87161" wp14:editId="49527193">
          <wp:simplePos x="0" y="0"/>
          <wp:positionH relativeFrom="margin">
            <wp:align>left</wp:align>
          </wp:positionH>
          <wp:positionV relativeFrom="paragraph">
            <wp:posOffset>-601345</wp:posOffset>
          </wp:positionV>
          <wp:extent cx="1137557" cy="477540"/>
          <wp:effectExtent l="0" t="0" r="5715" b="0"/>
          <wp:wrapNone/>
          <wp:docPr id="1352602996" name="Picture 135260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2D76D0"/>
    <w:multiLevelType w:val="hybridMultilevel"/>
    <w:tmpl w:val="93F4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90026"/>
    <w:multiLevelType w:val="hybridMultilevel"/>
    <w:tmpl w:val="E1F8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076BA"/>
    <w:multiLevelType w:val="hybridMultilevel"/>
    <w:tmpl w:val="FBF8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A1491"/>
    <w:multiLevelType w:val="multilevel"/>
    <w:tmpl w:val="677EA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6E25BB"/>
    <w:multiLevelType w:val="hybridMultilevel"/>
    <w:tmpl w:val="612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310A9"/>
    <w:multiLevelType w:val="hybridMultilevel"/>
    <w:tmpl w:val="7D907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C6C1B"/>
    <w:multiLevelType w:val="multilevel"/>
    <w:tmpl w:val="A1E66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77451"/>
    <w:multiLevelType w:val="multilevel"/>
    <w:tmpl w:val="17E880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59C622A"/>
    <w:multiLevelType w:val="hybridMultilevel"/>
    <w:tmpl w:val="81F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1"/>
  </w:num>
  <w:num w:numId="2" w16cid:durableId="1334603471">
    <w:abstractNumId w:val="5"/>
  </w:num>
  <w:num w:numId="3" w16cid:durableId="454100576">
    <w:abstractNumId w:val="20"/>
  </w:num>
  <w:num w:numId="4" w16cid:durableId="358432893">
    <w:abstractNumId w:val="22"/>
  </w:num>
  <w:num w:numId="5" w16cid:durableId="1769345959">
    <w:abstractNumId w:val="2"/>
  </w:num>
  <w:num w:numId="6" w16cid:durableId="2092727936">
    <w:abstractNumId w:val="16"/>
  </w:num>
  <w:num w:numId="7" w16cid:durableId="1424182519">
    <w:abstractNumId w:val="27"/>
  </w:num>
  <w:num w:numId="8" w16cid:durableId="1380324300">
    <w:abstractNumId w:val="10"/>
  </w:num>
  <w:num w:numId="9" w16cid:durableId="1810899930">
    <w:abstractNumId w:val="3"/>
  </w:num>
  <w:num w:numId="10" w16cid:durableId="1276324223">
    <w:abstractNumId w:val="12"/>
  </w:num>
  <w:num w:numId="11" w16cid:durableId="269892830">
    <w:abstractNumId w:val="24"/>
  </w:num>
  <w:num w:numId="12" w16cid:durableId="476338105">
    <w:abstractNumId w:val="7"/>
  </w:num>
  <w:num w:numId="13" w16cid:durableId="2010592579">
    <w:abstractNumId w:val="29"/>
  </w:num>
  <w:num w:numId="14" w16cid:durableId="1520898666">
    <w:abstractNumId w:val="13"/>
  </w:num>
  <w:num w:numId="15" w16cid:durableId="802045075">
    <w:abstractNumId w:val="9"/>
  </w:num>
  <w:num w:numId="16" w16cid:durableId="1861626428">
    <w:abstractNumId w:val="28"/>
  </w:num>
  <w:num w:numId="17" w16cid:durableId="521436602">
    <w:abstractNumId w:val="8"/>
  </w:num>
  <w:num w:numId="18" w16cid:durableId="135143229">
    <w:abstractNumId w:val="0"/>
  </w:num>
  <w:num w:numId="19" w16cid:durableId="741148128">
    <w:abstractNumId w:val="1"/>
  </w:num>
  <w:num w:numId="20" w16cid:durableId="769352765">
    <w:abstractNumId w:val="21"/>
  </w:num>
  <w:num w:numId="21" w16cid:durableId="1186407963">
    <w:abstractNumId w:val="4"/>
  </w:num>
  <w:num w:numId="22" w16cid:durableId="311957161">
    <w:abstractNumId w:val="30"/>
  </w:num>
  <w:num w:numId="23" w16cid:durableId="1312519773">
    <w:abstractNumId w:val="23"/>
  </w:num>
  <w:num w:numId="24" w16cid:durableId="774591918">
    <w:abstractNumId w:val="19"/>
  </w:num>
  <w:num w:numId="25" w16cid:durableId="1054160755">
    <w:abstractNumId w:val="25"/>
  </w:num>
  <w:num w:numId="26" w16cid:durableId="689451822">
    <w:abstractNumId w:val="6"/>
  </w:num>
  <w:num w:numId="27" w16cid:durableId="662246665">
    <w:abstractNumId w:val="17"/>
  </w:num>
  <w:num w:numId="28" w16cid:durableId="2016152874">
    <w:abstractNumId w:val="18"/>
  </w:num>
  <w:num w:numId="29" w16cid:durableId="1352806223">
    <w:abstractNumId w:val="15"/>
  </w:num>
  <w:num w:numId="30" w16cid:durableId="2050452458">
    <w:abstractNumId w:val="14"/>
  </w:num>
  <w:num w:numId="31" w16cid:durableId="4638881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NjIyMDI3MDKwNDVR0lEKTi0uzszPAykwrgUA5uHm/CwAAAA="/>
  </w:docVars>
  <w:rsids>
    <w:rsidRoot w:val="000C51BB"/>
    <w:rsid w:val="000105AB"/>
    <w:rsid w:val="00031572"/>
    <w:rsid w:val="000361B9"/>
    <w:rsid w:val="00041B75"/>
    <w:rsid w:val="00041F60"/>
    <w:rsid w:val="000470E0"/>
    <w:rsid w:val="00057355"/>
    <w:rsid w:val="000638CB"/>
    <w:rsid w:val="0006706F"/>
    <w:rsid w:val="00067765"/>
    <w:rsid w:val="00083A47"/>
    <w:rsid w:val="000A319C"/>
    <w:rsid w:val="000B2354"/>
    <w:rsid w:val="000C287A"/>
    <w:rsid w:val="000C51BB"/>
    <w:rsid w:val="000C7A38"/>
    <w:rsid w:val="000D113C"/>
    <w:rsid w:val="000D3C01"/>
    <w:rsid w:val="000E214D"/>
    <w:rsid w:val="000E2FAD"/>
    <w:rsid w:val="000F0146"/>
    <w:rsid w:val="000F432F"/>
    <w:rsid w:val="001060F7"/>
    <w:rsid w:val="0011254D"/>
    <w:rsid w:val="00117BD1"/>
    <w:rsid w:val="00120AA4"/>
    <w:rsid w:val="0012667D"/>
    <w:rsid w:val="00126F9E"/>
    <w:rsid w:val="00131BD6"/>
    <w:rsid w:val="0013236C"/>
    <w:rsid w:val="00136362"/>
    <w:rsid w:val="001409B0"/>
    <w:rsid w:val="00142E67"/>
    <w:rsid w:val="0015537E"/>
    <w:rsid w:val="00156CC7"/>
    <w:rsid w:val="0015738A"/>
    <w:rsid w:val="0016745C"/>
    <w:rsid w:val="00175147"/>
    <w:rsid w:val="00180C45"/>
    <w:rsid w:val="00185787"/>
    <w:rsid w:val="001B36CB"/>
    <w:rsid w:val="001D1F73"/>
    <w:rsid w:val="001D637C"/>
    <w:rsid w:val="001E1893"/>
    <w:rsid w:val="00204B71"/>
    <w:rsid w:val="00206EF2"/>
    <w:rsid w:val="002073A7"/>
    <w:rsid w:val="002105FE"/>
    <w:rsid w:val="00215D2E"/>
    <w:rsid w:val="00225715"/>
    <w:rsid w:val="002307A7"/>
    <w:rsid w:val="00235B16"/>
    <w:rsid w:val="00246C78"/>
    <w:rsid w:val="002547B3"/>
    <w:rsid w:val="002747F4"/>
    <w:rsid w:val="002833F2"/>
    <w:rsid w:val="0029094D"/>
    <w:rsid w:val="002A167A"/>
    <w:rsid w:val="002B1F31"/>
    <w:rsid w:val="002B2E32"/>
    <w:rsid w:val="002B3692"/>
    <w:rsid w:val="002C07C6"/>
    <w:rsid w:val="002C7D5F"/>
    <w:rsid w:val="00300588"/>
    <w:rsid w:val="003039A2"/>
    <w:rsid w:val="00310272"/>
    <w:rsid w:val="00314556"/>
    <w:rsid w:val="00340E85"/>
    <w:rsid w:val="00345A04"/>
    <w:rsid w:val="00370D6E"/>
    <w:rsid w:val="003748B1"/>
    <w:rsid w:val="00377A27"/>
    <w:rsid w:val="00390713"/>
    <w:rsid w:val="003A4BF3"/>
    <w:rsid w:val="003B125E"/>
    <w:rsid w:val="003B2CF6"/>
    <w:rsid w:val="003B30F7"/>
    <w:rsid w:val="003B319C"/>
    <w:rsid w:val="003D01C2"/>
    <w:rsid w:val="003D46AC"/>
    <w:rsid w:val="003E211C"/>
    <w:rsid w:val="003F01DF"/>
    <w:rsid w:val="003F2915"/>
    <w:rsid w:val="0042637D"/>
    <w:rsid w:val="00427FF1"/>
    <w:rsid w:val="00445C22"/>
    <w:rsid w:val="00454611"/>
    <w:rsid w:val="004606AC"/>
    <w:rsid w:val="004635D4"/>
    <w:rsid w:val="00464106"/>
    <w:rsid w:val="0048092F"/>
    <w:rsid w:val="00484B71"/>
    <w:rsid w:val="004879B4"/>
    <w:rsid w:val="00492091"/>
    <w:rsid w:val="004A5BCF"/>
    <w:rsid w:val="004C0824"/>
    <w:rsid w:val="004C1F04"/>
    <w:rsid w:val="004E2A34"/>
    <w:rsid w:val="004F4859"/>
    <w:rsid w:val="004F58B3"/>
    <w:rsid w:val="00525948"/>
    <w:rsid w:val="005369B8"/>
    <w:rsid w:val="005453A0"/>
    <w:rsid w:val="00550B94"/>
    <w:rsid w:val="00563B2F"/>
    <w:rsid w:val="00586E4E"/>
    <w:rsid w:val="005873B4"/>
    <w:rsid w:val="0058759F"/>
    <w:rsid w:val="005A0999"/>
    <w:rsid w:val="005C37DA"/>
    <w:rsid w:val="005D2012"/>
    <w:rsid w:val="005F6977"/>
    <w:rsid w:val="00603905"/>
    <w:rsid w:val="006148AC"/>
    <w:rsid w:val="00615E47"/>
    <w:rsid w:val="0062588D"/>
    <w:rsid w:val="006308DD"/>
    <w:rsid w:val="00634C07"/>
    <w:rsid w:val="006351C9"/>
    <w:rsid w:val="00637FFD"/>
    <w:rsid w:val="00670A30"/>
    <w:rsid w:val="006947C4"/>
    <w:rsid w:val="00697C4C"/>
    <w:rsid w:val="006A42C1"/>
    <w:rsid w:val="006A7F78"/>
    <w:rsid w:val="006B4B89"/>
    <w:rsid w:val="006B5E43"/>
    <w:rsid w:val="006C021A"/>
    <w:rsid w:val="006C2189"/>
    <w:rsid w:val="006D0359"/>
    <w:rsid w:val="006D0B8D"/>
    <w:rsid w:val="006D0E51"/>
    <w:rsid w:val="006F4FF7"/>
    <w:rsid w:val="00706B6D"/>
    <w:rsid w:val="007220AB"/>
    <w:rsid w:val="00724266"/>
    <w:rsid w:val="0072690B"/>
    <w:rsid w:val="00731E26"/>
    <w:rsid w:val="00750697"/>
    <w:rsid w:val="00756202"/>
    <w:rsid w:val="00766A83"/>
    <w:rsid w:val="00770D34"/>
    <w:rsid w:val="00773A05"/>
    <w:rsid w:val="007A237D"/>
    <w:rsid w:val="007B3C00"/>
    <w:rsid w:val="007B5294"/>
    <w:rsid w:val="007D158B"/>
    <w:rsid w:val="007D2C0C"/>
    <w:rsid w:val="007E501B"/>
    <w:rsid w:val="007E7408"/>
    <w:rsid w:val="0080431E"/>
    <w:rsid w:val="00807FA0"/>
    <w:rsid w:val="0081441F"/>
    <w:rsid w:val="00833CE6"/>
    <w:rsid w:val="008605E3"/>
    <w:rsid w:val="00862C5D"/>
    <w:rsid w:val="00876CBE"/>
    <w:rsid w:val="00891891"/>
    <w:rsid w:val="00896FC1"/>
    <w:rsid w:val="008B075C"/>
    <w:rsid w:val="008D2BFE"/>
    <w:rsid w:val="008E7C66"/>
    <w:rsid w:val="009003D6"/>
    <w:rsid w:val="00901212"/>
    <w:rsid w:val="00902A2C"/>
    <w:rsid w:val="00913607"/>
    <w:rsid w:val="00914747"/>
    <w:rsid w:val="009176AE"/>
    <w:rsid w:val="009234BC"/>
    <w:rsid w:val="00936864"/>
    <w:rsid w:val="00937AB6"/>
    <w:rsid w:val="0094470F"/>
    <w:rsid w:val="00964121"/>
    <w:rsid w:val="00987AEE"/>
    <w:rsid w:val="0099395B"/>
    <w:rsid w:val="009A4B65"/>
    <w:rsid w:val="009C39D1"/>
    <w:rsid w:val="009D06F1"/>
    <w:rsid w:val="009D156F"/>
    <w:rsid w:val="009F361C"/>
    <w:rsid w:val="00A13C44"/>
    <w:rsid w:val="00A23F38"/>
    <w:rsid w:val="00A24572"/>
    <w:rsid w:val="00A42749"/>
    <w:rsid w:val="00A43CEA"/>
    <w:rsid w:val="00A47409"/>
    <w:rsid w:val="00A563B4"/>
    <w:rsid w:val="00A76BCB"/>
    <w:rsid w:val="00AB0EBC"/>
    <w:rsid w:val="00AE2325"/>
    <w:rsid w:val="00AE4CDC"/>
    <w:rsid w:val="00AF79BA"/>
    <w:rsid w:val="00B05DC0"/>
    <w:rsid w:val="00B13AC6"/>
    <w:rsid w:val="00B257C1"/>
    <w:rsid w:val="00B33123"/>
    <w:rsid w:val="00B36435"/>
    <w:rsid w:val="00B43BA8"/>
    <w:rsid w:val="00B601A7"/>
    <w:rsid w:val="00B6090E"/>
    <w:rsid w:val="00B61361"/>
    <w:rsid w:val="00B96CE7"/>
    <w:rsid w:val="00BA6239"/>
    <w:rsid w:val="00BB3AEF"/>
    <w:rsid w:val="00BB5640"/>
    <w:rsid w:val="00BB6A74"/>
    <w:rsid w:val="00BD42DD"/>
    <w:rsid w:val="00BD6BCE"/>
    <w:rsid w:val="00BF2178"/>
    <w:rsid w:val="00C12F14"/>
    <w:rsid w:val="00C334F0"/>
    <w:rsid w:val="00C348E4"/>
    <w:rsid w:val="00C44A40"/>
    <w:rsid w:val="00C72F51"/>
    <w:rsid w:val="00C7703F"/>
    <w:rsid w:val="00C807DD"/>
    <w:rsid w:val="00C846DD"/>
    <w:rsid w:val="00C97C57"/>
    <w:rsid w:val="00CC06B3"/>
    <w:rsid w:val="00CC155F"/>
    <w:rsid w:val="00CC1AAA"/>
    <w:rsid w:val="00CC483F"/>
    <w:rsid w:val="00CC5054"/>
    <w:rsid w:val="00CD6D81"/>
    <w:rsid w:val="00CD7E87"/>
    <w:rsid w:val="00CE4992"/>
    <w:rsid w:val="00CF2EA2"/>
    <w:rsid w:val="00D0670E"/>
    <w:rsid w:val="00D133FB"/>
    <w:rsid w:val="00D327C6"/>
    <w:rsid w:val="00D72866"/>
    <w:rsid w:val="00D905D8"/>
    <w:rsid w:val="00D92008"/>
    <w:rsid w:val="00D9297C"/>
    <w:rsid w:val="00DA0B43"/>
    <w:rsid w:val="00DA32BF"/>
    <w:rsid w:val="00DA5BCF"/>
    <w:rsid w:val="00DA5DB5"/>
    <w:rsid w:val="00DA6189"/>
    <w:rsid w:val="00DA7A9D"/>
    <w:rsid w:val="00DB5560"/>
    <w:rsid w:val="00DC03CE"/>
    <w:rsid w:val="00DD0EBF"/>
    <w:rsid w:val="00DE1069"/>
    <w:rsid w:val="00DE11D3"/>
    <w:rsid w:val="00DF4067"/>
    <w:rsid w:val="00E377D6"/>
    <w:rsid w:val="00E70737"/>
    <w:rsid w:val="00E8529C"/>
    <w:rsid w:val="00E85A43"/>
    <w:rsid w:val="00EB308E"/>
    <w:rsid w:val="00EC76F3"/>
    <w:rsid w:val="00ED5FB4"/>
    <w:rsid w:val="00EE4ED2"/>
    <w:rsid w:val="00EE61A9"/>
    <w:rsid w:val="00EE6E45"/>
    <w:rsid w:val="00EF1AEF"/>
    <w:rsid w:val="00EF5615"/>
    <w:rsid w:val="00F0504F"/>
    <w:rsid w:val="00F10439"/>
    <w:rsid w:val="00F112FA"/>
    <w:rsid w:val="00F141C7"/>
    <w:rsid w:val="00F31652"/>
    <w:rsid w:val="00F42CFE"/>
    <w:rsid w:val="00F65934"/>
    <w:rsid w:val="00F65FBF"/>
    <w:rsid w:val="00F70A6C"/>
    <w:rsid w:val="00F85421"/>
    <w:rsid w:val="00FA5BA7"/>
    <w:rsid w:val="00FB41B7"/>
    <w:rsid w:val="00FC6772"/>
    <w:rsid w:val="00FC7501"/>
    <w:rsid w:val="00FC7FB4"/>
    <w:rsid w:val="00FD380B"/>
    <w:rsid w:val="00FD53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F65934"/>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F65934"/>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F65934"/>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34"/>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F65934"/>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F6593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65934"/>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F65934"/>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F65934"/>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F65934"/>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F6593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65934"/>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F65934"/>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character" w:customStyle="1" w:styleId="Heading3Char">
    <w:name w:val="Heading 3 Char"/>
    <w:basedOn w:val="DefaultParagraphFont"/>
    <w:link w:val="Heading3"/>
    <w:uiPriority w:val="9"/>
    <w:semiHidden/>
    <w:rsid w:val="00F65934"/>
    <w:rPr>
      <w:rFonts w:asciiTheme="majorHAnsi" w:eastAsiaTheme="majorEastAsia" w:hAnsiTheme="majorHAnsi" w:cstheme="majorBidi"/>
      <w:color w:val="851414"/>
      <w:sz w:val="24"/>
      <w:szCs w:val="24"/>
    </w:rPr>
  </w:style>
  <w:style w:type="character" w:styleId="CommentReference">
    <w:name w:val="annotation reference"/>
    <w:basedOn w:val="DefaultParagraphFont"/>
    <w:uiPriority w:val="99"/>
    <w:semiHidden/>
    <w:unhideWhenUsed/>
    <w:rsid w:val="007D2C0C"/>
    <w:rPr>
      <w:sz w:val="16"/>
      <w:szCs w:val="16"/>
    </w:rPr>
  </w:style>
  <w:style w:type="paragraph" w:styleId="CommentText">
    <w:name w:val="annotation text"/>
    <w:basedOn w:val="Normal"/>
    <w:link w:val="CommentTextChar"/>
    <w:uiPriority w:val="99"/>
    <w:unhideWhenUsed/>
    <w:rsid w:val="007D2C0C"/>
    <w:pPr>
      <w:spacing w:line="240" w:lineRule="auto"/>
    </w:pPr>
    <w:rPr>
      <w:sz w:val="20"/>
      <w:szCs w:val="20"/>
    </w:rPr>
  </w:style>
  <w:style w:type="character" w:customStyle="1" w:styleId="CommentTextChar">
    <w:name w:val="Comment Text Char"/>
    <w:basedOn w:val="DefaultParagraphFont"/>
    <w:link w:val="CommentText"/>
    <w:uiPriority w:val="99"/>
    <w:rsid w:val="007D2C0C"/>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D2C0C"/>
    <w:rPr>
      <w:b/>
      <w:bCs/>
    </w:rPr>
  </w:style>
  <w:style w:type="character" w:customStyle="1" w:styleId="CommentSubjectChar">
    <w:name w:val="Comment Subject Char"/>
    <w:basedOn w:val="CommentTextChar"/>
    <w:link w:val="CommentSubject"/>
    <w:uiPriority w:val="99"/>
    <w:semiHidden/>
    <w:rsid w:val="007D2C0C"/>
    <w:rPr>
      <w:rFonts w:ascii="Arial" w:hAnsi="Arial"/>
      <w:b/>
      <w:bCs/>
      <w:color w:val="0D0D0D" w:themeColor="text1" w:themeTint="F2"/>
      <w:sz w:val="20"/>
      <w:szCs w:val="20"/>
    </w:rPr>
  </w:style>
  <w:style w:type="paragraph" w:styleId="Revision">
    <w:name w:val="Revision"/>
    <w:hidden/>
    <w:uiPriority w:val="99"/>
    <w:semiHidden/>
    <w:rsid w:val="00F65FBF"/>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CE281957-EF18-4F4B-8226-98B6B79618AD}"/>
</file>

<file path=customXml/itemProps3.xml><?xml version="1.0" encoding="utf-8"?>
<ds:datastoreItem xmlns:ds="http://schemas.openxmlformats.org/officeDocument/2006/customXml" ds:itemID="{84A3F58D-3F91-490A-9E40-0DA3655EE0E1}"/>
</file>

<file path=customXml/itemProps4.xml><?xml version="1.0" encoding="utf-8"?>
<ds:datastoreItem xmlns:ds="http://schemas.openxmlformats.org/officeDocument/2006/customXml" ds:itemID="{8625D4AC-A720-4005-B01A-36D845BA1118}"/>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2026-06-01T16:29:00Z</dcterms:created>
  <dcterms:modified xsi:type="dcterms:W3CDTF">2026-06-01T16:29:00Z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