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9A52" w14:textId="1A307A89" w:rsidR="00B03297" w:rsidRDefault="00B03297" w:rsidP="00670A67">
      <w:pPr>
        <w:pStyle w:val="Chapter"/>
        <w:spacing w:before="0"/>
      </w:pPr>
      <w:bookmarkStart w:id="0" w:name="_Toc137031731"/>
      <w:bookmarkStart w:id="1" w:name="_Toc137031855"/>
      <w:bookmarkStart w:id="2" w:name="_Hlk138416276"/>
      <w:r>
        <w:t>Activity 2 Assessing a project plan</w:t>
      </w:r>
      <w:r w:rsidR="00791AFC">
        <w:t xml:space="preserve"> answers</w:t>
      </w:r>
    </w:p>
    <w:p w14:paraId="4985169B" w14:textId="24913022" w:rsidR="00B03297" w:rsidRDefault="00B03297" w:rsidP="00B03297">
      <w:pPr>
        <w:pStyle w:val="Heading1"/>
      </w:pPr>
      <w:r>
        <w:t>Strengths and areas for improvement</w:t>
      </w:r>
    </w:p>
    <w:p w14:paraId="465DAD5B" w14:textId="31CEC7D5" w:rsidR="008C060B" w:rsidRDefault="008C060B" w:rsidP="008C060B">
      <w:r>
        <w:t xml:space="preserve">Watch the video </w:t>
      </w:r>
      <w:r w:rsidR="00215F3E">
        <w:t>(</w:t>
      </w:r>
      <w:hyperlink r:id="rId8" w:tgtFrame="_blank" w:history="1">
        <w:r w:rsidR="00215F3E" w:rsidRPr="00215F3E">
          <w:rPr>
            <w:rStyle w:val="Hyperlink"/>
          </w:rPr>
          <w:t>https://vimeo.com/1200701428/fb706fb14f</w:t>
        </w:r>
      </w:hyperlink>
      <w:r w:rsidR="00215F3E">
        <w:t xml:space="preserve">) </w:t>
      </w:r>
      <w:r>
        <w:t xml:space="preserve">of the student presenting a Gantt chart and note down the strengths and areas for improvement you observe. Use the checklist below to help you. </w:t>
      </w:r>
    </w:p>
    <w:tbl>
      <w:tblPr>
        <w:tblStyle w:val="TableGridLight"/>
        <w:tblW w:w="9072" w:type="dxa"/>
        <w:tblInd w:w="-5" w:type="dxa"/>
        <w:tblCellMar>
          <w:left w:w="142" w:type="dxa"/>
          <w:bottom w:w="28" w:type="dxa"/>
          <w:right w:w="142" w:type="dxa"/>
        </w:tblCellMar>
        <w:tblLook w:val="04A0" w:firstRow="1" w:lastRow="0" w:firstColumn="1" w:lastColumn="0" w:noHBand="0" w:noVBand="1"/>
      </w:tblPr>
      <w:tblGrid>
        <w:gridCol w:w="9072"/>
      </w:tblGrid>
      <w:tr w:rsidR="008C060B" w14:paraId="660B208C" w14:textId="77777777" w:rsidTr="004A1849">
        <w:tc>
          <w:tcPr>
            <w:tcW w:w="9072" w:type="dxa"/>
            <w:tcBorders>
              <w:top w:val="single" w:sz="4" w:space="0" w:color="7030A0"/>
              <w:left w:val="single" w:sz="4" w:space="0" w:color="7030A0"/>
              <w:bottom w:val="single" w:sz="4" w:space="0" w:color="7030A0"/>
              <w:right w:val="single" w:sz="4" w:space="0" w:color="7030A0"/>
            </w:tcBorders>
            <w:shd w:val="clear" w:color="auto" w:fill="F4EDF9"/>
          </w:tcPr>
          <w:p w14:paraId="12D0530E" w14:textId="77777777" w:rsidR="008C060B" w:rsidRPr="00E115ED" w:rsidRDefault="008C060B" w:rsidP="00670A67">
            <w:pPr>
              <w:spacing w:before="120" w:line="276" w:lineRule="auto"/>
              <w:rPr>
                <w:b/>
                <w:bCs/>
              </w:rPr>
            </w:pPr>
            <w:r w:rsidRPr="00E115ED">
              <w:rPr>
                <w:b/>
                <w:bCs/>
              </w:rPr>
              <w:t>Questions to ask</w:t>
            </w:r>
          </w:p>
          <w:p w14:paraId="5D0EEF24" w14:textId="77777777" w:rsidR="008C060B" w:rsidRPr="00EC789A" w:rsidRDefault="008C060B" w:rsidP="00670A67">
            <w:pPr>
              <w:pStyle w:val="ListParagraph"/>
              <w:numPr>
                <w:ilvl w:val="0"/>
                <w:numId w:val="7"/>
              </w:numPr>
              <w:spacing w:after="120" w:line="276" w:lineRule="auto"/>
            </w:pPr>
            <w:r w:rsidRPr="00EC789A">
              <w:t>What needs doing?</w:t>
            </w:r>
          </w:p>
          <w:p w14:paraId="20F9149E" w14:textId="0C89F091" w:rsidR="008C060B" w:rsidRPr="00EC789A" w:rsidRDefault="008C060B" w:rsidP="007208B6">
            <w:pPr>
              <w:pStyle w:val="ListParagraph"/>
              <w:numPr>
                <w:ilvl w:val="0"/>
                <w:numId w:val="7"/>
              </w:numPr>
              <w:spacing w:before="240" w:after="240" w:line="276" w:lineRule="auto"/>
            </w:pPr>
            <w:r w:rsidRPr="00EC789A">
              <w:t xml:space="preserve">When </w:t>
            </w:r>
            <w:r w:rsidR="006A0A2B">
              <w:t xml:space="preserve">does </w:t>
            </w:r>
            <w:r w:rsidRPr="00EC789A">
              <w:t>it happen?</w:t>
            </w:r>
          </w:p>
          <w:p w14:paraId="0E98B164" w14:textId="0576E001" w:rsidR="008C060B" w:rsidRPr="00EC789A" w:rsidRDefault="008C060B" w:rsidP="007208B6">
            <w:pPr>
              <w:pStyle w:val="ListParagraph"/>
              <w:numPr>
                <w:ilvl w:val="0"/>
                <w:numId w:val="7"/>
              </w:numPr>
              <w:spacing w:before="240" w:after="240" w:line="276" w:lineRule="auto"/>
            </w:pPr>
            <w:r w:rsidRPr="00EC789A">
              <w:t xml:space="preserve">How long </w:t>
            </w:r>
            <w:r w:rsidR="006A0A2B">
              <w:t xml:space="preserve">does </w:t>
            </w:r>
            <w:r w:rsidRPr="00EC789A">
              <w:t>it take?</w:t>
            </w:r>
          </w:p>
          <w:p w14:paraId="12DA0174" w14:textId="77777777" w:rsidR="008C060B" w:rsidRPr="00EC789A" w:rsidRDefault="008C060B" w:rsidP="007208B6">
            <w:pPr>
              <w:pStyle w:val="ListParagraph"/>
              <w:numPr>
                <w:ilvl w:val="0"/>
                <w:numId w:val="7"/>
              </w:numPr>
              <w:spacing w:before="240" w:after="240" w:line="276" w:lineRule="auto"/>
            </w:pPr>
            <w:r w:rsidRPr="00EC789A">
              <w:t>What overlaps?</w:t>
            </w:r>
          </w:p>
          <w:p w14:paraId="5076747D" w14:textId="3C7C35CB" w:rsidR="008C060B" w:rsidRPr="00EC789A" w:rsidRDefault="008C060B" w:rsidP="007208B6">
            <w:pPr>
              <w:pStyle w:val="ListParagraph"/>
              <w:numPr>
                <w:ilvl w:val="0"/>
                <w:numId w:val="7"/>
              </w:numPr>
              <w:spacing w:before="240" w:after="240" w:line="276" w:lineRule="auto"/>
            </w:pPr>
            <w:r w:rsidRPr="00EC789A">
              <w:t>What depends on what</w:t>
            </w:r>
            <w:r w:rsidR="006A0A2B">
              <w:t>?</w:t>
            </w:r>
          </w:p>
          <w:p w14:paraId="6B5FC5D6" w14:textId="77777777" w:rsidR="008C060B" w:rsidRPr="00EC789A" w:rsidRDefault="008C060B" w:rsidP="007208B6">
            <w:pPr>
              <w:pStyle w:val="ListParagraph"/>
              <w:numPr>
                <w:ilvl w:val="0"/>
                <w:numId w:val="7"/>
              </w:numPr>
              <w:spacing w:before="240" w:after="240" w:line="276" w:lineRule="auto"/>
            </w:pPr>
            <w:r w:rsidRPr="00EC789A">
              <w:t>What happens if something is delayed?</w:t>
            </w:r>
          </w:p>
          <w:p w14:paraId="54358832" w14:textId="77777777" w:rsidR="008C060B" w:rsidRPr="00E115ED" w:rsidRDefault="008C060B" w:rsidP="00670A67">
            <w:pPr>
              <w:spacing w:before="120" w:line="276" w:lineRule="auto"/>
              <w:rPr>
                <w:b/>
                <w:bCs/>
              </w:rPr>
            </w:pPr>
            <w:r w:rsidRPr="00E115ED">
              <w:rPr>
                <w:b/>
                <w:bCs/>
              </w:rPr>
              <w:t xml:space="preserve">Checklist </w:t>
            </w:r>
          </w:p>
          <w:p w14:paraId="24B6BDE8" w14:textId="4CFDB034" w:rsidR="008C060B" w:rsidRPr="00450687" w:rsidRDefault="00851B79" w:rsidP="00670A67">
            <w:pPr>
              <w:pStyle w:val="ListParagraph"/>
              <w:numPr>
                <w:ilvl w:val="0"/>
                <w:numId w:val="5"/>
              </w:numPr>
              <w:spacing w:after="120" w:line="276" w:lineRule="auto"/>
              <w:rPr>
                <w:color w:val="000000"/>
              </w:rPr>
            </w:pPr>
            <w:r>
              <w:t xml:space="preserve">Use </w:t>
            </w:r>
            <w:r w:rsidR="008C060B">
              <w:t>of the key stages for the installation and commissioning of technologies</w:t>
            </w:r>
          </w:p>
          <w:p w14:paraId="11A03BA9" w14:textId="1C2750CF" w:rsidR="008C060B" w:rsidRPr="00450687" w:rsidRDefault="00851B79">
            <w:pPr>
              <w:pStyle w:val="ListParagraph"/>
              <w:numPr>
                <w:ilvl w:val="0"/>
                <w:numId w:val="5"/>
              </w:numPr>
              <w:spacing w:before="120" w:after="120" w:line="276" w:lineRule="auto"/>
              <w:rPr>
                <w:color w:val="000000"/>
              </w:rPr>
            </w:pPr>
            <w:r>
              <w:t xml:space="preserve">Installation </w:t>
            </w:r>
            <w:r w:rsidR="008C060B">
              <w:t>of modular build</w:t>
            </w:r>
          </w:p>
          <w:p w14:paraId="4B1D75B8" w14:textId="3984C010" w:rsidR="008C060B" w:rsidRPr="00450687" w:rsidRDefault="00851B79">
            <w:pPr>
              <w:pStyle w:val="ListParagraph"/>
              <w:numPr>
                <w:ilvl w:val="0"/>
                <w:numId w:val="5"/>
              </w:numPr>
              <w:spacing w:before="120" w:after="120" w:line="276" w:lineRule="auto"/>
              <w:rPr>
                <w:color w:val="000000"/>
              </w:rPr>
            </w:pPr>
            <w:r>
              <w:t xml:space="preserve">Details </w:t>
            </w:r>
            <w:r w:rsidR="008C060B">
              <w:t>of which contractors will be onsite during the project</w:t>
            </w:r>
          </w:p>
          <w:p w14:paraId="4439FDF1" w14:textId="04115D9C" w:rsidR="008C060B" w:rsidRPr="00450687" w:rsidRDefault="00851B79">
            <w:pPr>
              <w:pStyle w:val="ListParagraph"/>
              <w:numPr>
                <w:ilvl w:val="0"/>
                <w:numId w:val="5"/>
              </w:numPr>
              <w:spacing w:before="120" w:after="120" w:line="276" w:lineRule="auto"/>
              <w:rPr>
                <w:color w:val="000000"/>
              </w:rPr>
            </w:pPr>
            <w:r>
              <w:t xml:space="preserve">Duration </w:t>
            </w:r>
            <w:r w:rsidR="008C060B">
              <w:t>of each task</w:t>
            </w:r>
          </w:p>
          <w:p w14:paraId="7FCFE82E" w14:textId="64C4BF50" w:rsidR="008C060B" w:rsidRPr="00E115ED" w:rsidRDefault="00851B79">
            <w:pPr>
              <w:pStyle w:val="ListParagraph"/>
              <w:numPr>
                <w:ilvl w:val="0"/>
                <w:numId w:val="5"/>
              </w:numPr>
              <w:spacing w:before="120" w:after="120" w:line="276" w:lineRule="auto"/>
              <w:rPr>
                <w:rFonts w:ascii="Times New Roman" w:eastAsia="Times New Roman" w:hAnsi="Times New Roman" w:cs="Times New Roman"/>
                <w:color w:val="000000"/>
                <w:sz w:val="24"/>
                <w:szCs w:val="24"/>
              </w:rPr>
            </w:pPr>
            <w:r>
              <w:t xml:space="preserve">Order </w:t>
            </w:r>
            <w:r w:rsidR="008C060B">
              <w:t>in which activities will be completed, and their interdependencies.</w:t>
            </w:r>
          </w:p>
        </w:tc>
      </w:tr>
    </w:tbl>
    <w:p w14:paraId="655A7E42" w14:textId="2524E5ED" w:rsidR="008C060B" w:rsidRPr="00170B06" w:rsidRDefault="008C060B" w:rsidP="00670A67">
      <w:pPr>
        <w:spacing w:before="120"/>
        <w:rPr>
          <w:b/>
          <w:bCs/>
        </w:rPr>
      </w:pPr>
      <w:r w:rsidRPr="00170B06">
        <w:rPr>
          <w:b/>
          <w:bCs/>
        </w:rPr>
        <w:t>Answers</w:t>
      </w:r>
    </w:p>
    <w:p w14:paraId="0D66EA0F" w14:textId="46566B7F" w:rsidR="008C060B" w:rsidRPr="00170B06" w:rsidRDefault="008C060B" w:rsidP="00170B06">
      <w:r>
        <w:t>Possible responses include:</w:t>
      </w:r>
    </w:p>
    <w:p w14:paraId="1BA95BCD" w14:textId="22571611" w:rsidR="00AB7FFA" w:rsidRPr="006A0A2B" w:rsidRDefault="009D7D43">
      <w:pPr>
        <w:numPr>
          <w:ilvl w:val="0"/>
          <w:numId w:val="2"/>
        </w:numPr>
        <w:pBdr>
          <w:between w:val="nil"/>
        </w:pBdr>
        <w:ind w:left="426"/>
        <w:rPr>
          <w:b/>
          <w:bCs/>
          <w:color w:val="auto"/>
        </w:rPr>
      </w:pPr>
      <w:r w:rsidRPr="006A0A2B">
        <w:rPr>
          <w:b/>
          <w:bCs/>
          <w:color w:val="auto"/>
        </w:rPr>
        <w:t>P</w:t>
      </w:r>
      <w:r w:rsidR="00B03297" w:rsidRPr="006A0A2B">
        <w:rPr>
          <w:b/>
          <w:bCs/>
          <w:color w:val="auto"/>
        </w:rPr>
        <w:t>lanning</w:t>
      </w:r>
      <w:r w:rsidRPr="006A0A2B">
        <w:rPr>
          <w:b/>
          <w:bCs/>
          <w:color w:val="auto"/>
        </w:rPr>
        <w:t xml:space="preserve"> strengths</w:t>
      </w:r>
    </w:p>
    <w:tbl>
      <w:tblPr>
        <w:tblStyle w:val="TableGridLight"/>
        <w:tblW w:w="0" w:type="auto"/>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9010"/>
      </w:tblGrid>
      <w:tr w:rsidR="009D7D43" w:rsidRPr="009D7D43" w14:paraId="0A09E2FF" w14:textId="77777777" w:rsidTr="00170B06">
        <w:trPr>
          <w:trHeight w:val="2113"/>
        </w:trPr>
        <w:tc>
          <w:tcPr>
            <w:tcW w:w="9016" w:type="dxa"/>
          </w:tcPr>
          <w:p w14:paraId="02D94DBE" w14:textId="54783D7B" w:rsidR="009D7D43" w:rsidRPr="00653DF9" w:rsidRDefault="009D7D43" w:rsidP="00653DF9">
            <w:pPr>
              <w:pStyle w:val="ListParagraph"/>
              <w:numPr>
                <w:ilvl w:val="0"/>
                <w:numId w:val="8"/>
              </w:numPr>
              <w:spacing w:before="120"/>
              <w:ind w:left="714" w:hanging="357"/>
              <w:rPr>
                <w:color w:val="auto"/>
              </w:rPr>
            </w:pPr>
            <w:r w:rsidRPr="00653DF9">
              <w:rPr>
                <w:color w:val="auto"/>
              </w:rPr>
              <w:t>Clarity – the Gantt chart is clear and easy to understand</w:t>
            </w:r>
          </w:p>
          <w:p w14:paraId="130FB432" w14:textId="65ABAADC" w:rsidR="009D7D43" w:rsidRPr="00653DF9" w:rsidRDefault="009D7D43" w:rsidP="00653DF9">
            <w:pPr>
              <w:pStyle w:val="ListParagraph"/>
              <w:numPr>
                <w:ilvl w:val="0"/>
                <w:numId w:val="8"/>
              </w:numPr>
              <w:spacing w:before="120"/>
              <w:ind w:left="714" w:hanging="357"/>
              <w:rPr>
                <w:color w:val="auto"/>
              </w:rPr>
            </w:pPr>
            <w:r w:rsidRPr="00653DF9">
              <w:rPr>
                <w:color w:val="auto"/>
              </w:rPr>
              <w:t>Phases are sequenced appropriately – the plan is broken down into preparation, modular installation renewable system installation, commissioning and handover</w:t>
            </w:r>
          </w:p>
          <w:p w14:paraId="5AB119B0" w14:textId="04046F9D" w:rsidR="009D7D43" w:rsidRPr="00653DF9" w:rsidRDefault="009D7D43" w:rsidP="00653DF9">
            <w:pPr>
              <w:pStyle w:val="ListParagraph"/>
              <w:numPr>
                <w:ilvl w:val="0"/>
                <w:numId w:val="8"/>
              </w:numPr>
              <w:spacing w:before="120"/>
              <w:ind w:left="714" w:hanging="357"/>
              <w:rPr>
                <w:color w:val="auto"/>
              </w:rPr>
            </w:pPr>
            <w:r w:rsidRPr="00653DF9">
              <w:rPr>
                <w:color w:val="auto"/>
              </w:rPr>
              <w:t>Different trades have been included in the plan and are linked to the phases and tasks</w:t>
            </w:r>
          </w:p>
          <w:p w14:paraId="1C6A2371" w14:textId="2FDB0855" w:rsidR="009D7D43" w:rsidRPr="00653DF9" w:rsidRDefault="009D7D43" w:rsidP="00653DF9">
            <w:pPr>
              <w:pStyle w:val="ListParagraph"/>
              <w:numPr>
                <w:ilvl w:val="0"/>
                <w:numId w:val="8"/>
              </w:numPr>
              <w:spacing w:before="120"/>
              <w:ind w:left="714" w:hanging="357"/>
              <w:rPr>
                <w:color w:val="auto"/>
              </w:rPr>
            </w:pPr>
            <w:r w:rsidRPr="00653DF9">
              <w:rPr>
                <w:color w:val="auto"/>
              </w:rPr>
              <w:t>There is a logical flow to the tasks – durations and dependencies have been included to show the order of tasks and the impact of their completion date on tasks that follow on</w:t>
            </w:r>
          </w:p>
          <w:p w14:paraId="1475E61F" w14:textId="05375DDD" w:rsidR="009D7D43" w:rsidRPr="00170B06" w:rsidRDefault="009D7D43" w:rsidP="00B03297">
            <w:pPr>
              <w:rPr>
                <w:color w:val="432673"/>
              </w:rPr>
            </w:pPr>
          </w:p>
        </w:tc>
      </w:tr>
    </w:tbl>
    <w:p w14:paraId="6CFA8C0A" w14:textId="2423EC19" w:rsidR="00B03297" w:rsidRPr="00653DF9" w:rsidRDefault="00B03297" w:rsidP="00670A67">
      <w:pPr>
        <w:pStyle w:val="ListParagraph"/>
        <w:numPr>
          <w:ilvl w:val="0"/>
          <w:numId w:val="2"/>
        </w:numPr>
        <w:spacing w:before="120"/>
        <w:ind w:left="714" w:hanging="357"/>
        <w:contextualSpacing w:val="0"/>
        <w:rPr>
          <w:color w:val="auto"/>
        </w:rPr>
      </w:pPr>
      <w:r w:rsidRPr="00653DF9">
        <w:rPr>
          <w:b/>
          <w:bCs/>
          <w:color w:val="auto"/>
        </w:rPr>
        <w:t>Areas for improvement</w:t>
      </w:r>
    </w:p>
    <w:tbl>
      <w:tblPr>
        <w:tblStyle w:val="TableGridLight"/>
        <w:tblW w:w="0" w:type="auto"/>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9010"/>
      </w:tblGrid>
      <w:tr w:rsidR="009D7D43" w:rsidRPr="009D7D43" w14:paraId="0BA607C6" w14:textId="77777777" w:rsidTr="00170B06">
        <w:trPr>
          <w:trHeight w:val="1483"/>
        </w:trPr>
        <w:tc>
          <w:tcPr>
            <w:tcW w:w="9016" w:type="dxa"/>
          </w:tcPr>
          <w:p w14:paraId="5DA38550" w14:textId="77777777" w:rsidR="00AB7FFA" w:rsidRPr="00653DF9" w:rsidRDefault="009D7D43" w:rsidP="004A1849">
            <w:pPr>
              <w:pStyle w:val="ListParagraph"/>
              <w:numPr>
                <w:ilvl w:val="0"/>
                <w:numId w:val="9"/>
              </w:numPr>
              <w:spacing w:before="120"/>
              <w:ind w:left="714" w:hanging="357"/>
              <w:contextualSpacing w:val="0"/>
              <w:rPr>
                <w:color w:val="auto"/>
              </w:rPr>
            </w:pPr>
            <w:r w:rsidRPr="00653DF9">
              <w:rPr>
                <w:color w:val="auto"/>
              </w:rPr>
              <w:t>Timings are only estimates, they could be checked with previous similar projects or with the trades involved to be more accurate</w:t>
            </w:r>
          </w:p>
          <w:p w14:paraId="56E6CCDD" w14:textId="2F71C02B" w:rsidR="009D7D43" w:rsidRPr="00653DF9" w:rsidRDefault="009D7D43" w:rsidP="00653DF9">
            <w:pPr>
              <w:pStyle w:val="ListParagraph"/>
              <w:numPr>
                <w:ilvl w:val="0"/>
                <w:numId w:val="9"/>
              </w:numPr>
              <w:spacing w:before="120" w:after="120"/>
              <w:ind w:left="714" w:hanging="357"/>
              <w:rPr>
                <w:color w:val="auto"/>
              </w:rPr>
            </w:pPr>
            <w:r w:rsidRPr="00653DF9">
              <w:rPr>
                <w:color w:val="auto"/>
              </w:rPr>
              <w:t>There is no contingency built into the schedule; ideally there should be some extra time added for unforeseen delays (for example</w:t>
            </w:r>
            <w:r w:rsidR="006A0A2B" w:rsidRPr="00653DF9">
              <w:rPr>
                <w:color w:val="auto"/>
              </w:rPr>
              <w:t>,</w:t>
            </w:r>
            <w:r w:rsidRPr="00653DF9">
              <w:rPr>
                <w:color w:val="auto"/>
              </w:rPr>
              <w:t xml:space="preserve"> due to weather) at key stages</w:t>
            </w:r>
          </w:p>
          <w:p w14:paraId="2A8000A8" w14:textId="3B944293" w:rsidR="009D7D43" w:rsidRPr="00653DF9" w:rsidRDefault="009D7D43" w:rsidP="00653DF9">
            <w:pPr>
              <w:pStyle w:val="ListParagraph"/>
              <w:numPr>
                <w:ilvl w:val="0"/>
                <w:numId w:val="9"/>
              </w:numPr>
              <w:spacing w:before="120" w:after="120"/>
              <w:ind w:left="714" w:hanging="357"/>
              <w:rPr>
                <w:color w:val="432673"/>
              </w:rPr>
            </w:pPr>
            <w:r w:rsidRPr="00653DF9">
              <w:rPr>
                <w:color w:val="auto"/>
              </w:rPr>
              <w:t>There is no risk management plan</w:t>
            </w:r>
          </w:p>
        </w:tc>
      </w:tr>
    </w:tbl>
    <w:p w14:paraId="1C1668BB" w14:textId="6C9BB15B" w:rsidR="00B03297" w:rsidRDefault="00B03297" w:rsidP="00B03297">
      <w:pPr>
        <w:pStyle w:val="Heading1"/>
      </w:pPr>
      <w:r>
        <w:lastRenderedPageBreak/>
        <w:t>Linking to Industry Standards</w:t>
      </w:r>
    </w:p>
    <w:p w14:paraId="677FCF62" w14:textId="7A14FDD0" w:rsidR="008C060B" w:rsidRPr="00653DF9" w:rsidRDefault="008C060B" w:rsidP="00653DF9">
      <w:pPr>
        <w:pStyle w:val="ListParagraph"/>
        <w:numPr>
          <w:ilvl w:val="0"/>
          <w:numId w:val="2"/>
        </w:numPr>
        <w:rPr>
          <w:b/>
          <w:bCs/>
        </w:rPr>
      </w:pPr>
      <w:r w:rsidRPr="00653DF9">
        <w:rPr>
          <w:b/>
          <w:bCs/>
        </w:rPr>
        <w:t>In the table, describe how the student’s planning connects to wider industry considerations. (This is the information that should be included in the supporting statement.)</w:t>
      </w:r>
      <w:r w:rsidR="001E0AA7" w:rsidRPr="00653DF9">
        <w:rPr>
          <w:b/>
          <w:bCs/>
        </w:rPr>
        <w:t xml:space="preserve"> The first row has been done for you.</w:t>
      </w:r>
    </w:p>
    <w:p w14:paraId="5907A3A0" w14:textId="1D65DA99" w:rsidR="008C060B" w:rsidRDefault="008C060B" w:rsidP="00B03297">
      <w:pPr>
        <w:rPr>
          <w:b/>
          <w:bCs/>
        </w:rPr>
      </w:pPr>
      <w:r w:rsidRPr="00170B06">
        <w:rPr>
          <w:b/>
          <w:bCs/>
        </w:rPr>
        <w:t>Answers</w:t>
      </w:r>
    </w:p>
    <w:p w14:paraId="54B10EE6" w14:textId="645C3259" w:rsidR="008C060B" w:rsidRPr="008C060B" w:rsidRDefault="008C060B" w:rsidP="00B03297">
      <w:r>
        <w:t xml:space="preserve">Possible answers include: </w:t>
      </w:r>
    </w:p>
    <w:tbl>
      <w:tblPr>
        <w:tblStyle w:val="TableGridLight"/>
        <w:tblW w:w="0" w:type="auto"/>
        <w:tblLook w:val="04A0" w:firstRow="1" w:lastRow="0" w:firstColumn="1" w:lastColumn="0" w:noHBand="0" w:noVBand="1"/>
      </w:tblPr>
      <w:tblGrid>
        <w:gridCol w:w="2785"/>
        <w:gridCol w:w="6231"/>
      </w:tblGrid>
      <w:tr w:rsidR="00AB7FFA" w14:paraId="370BF001" w14:textId="77777777" w:rsidTr="00170B06">
        <w:tc>
          <w:tcPr>
            <w:tcW w:w="2785" w:type="dxa"/>
          </w:tcPr>
          <w:p w14:paraId="3AEA4699" w14:textId="5FA82D68" w:rsidR="00AB7FFA" w:rsidRPr="00170B06" w:rsidRDefault="00AB7FFA" w:rsidP="00170B06">
            <w:pPr>
              <w:pStyle w:val="Tablebody1"/>
              <w:rPr>
                <w:b/>
                <w:bCs/>
              </w:rPr>
            </w:pPr>
            <w:r w:rsidRPr="00170B06">
              <w:rPr>
                <w:b/>
                <w:bCs/>
              </w:rPr>
              <w:t>Area</w:t>
            </w:r>
          </w:p>
        </w:tc>
        <w:tc>
          <w:tcPr>
            <w:tcW w:w="6231" w:type="dxa"/>
          </w:tcPr>
          <w:p w14:paraId="48A32D41" w14:textId="77777777" w:rsidR="00AB7FFA" w:rsidRDefault="00AB7FFA" w:rsidP="00170B06">
            <w:pPr>
              <w:pStyle w:val="Tablebody1"/>
            </w:pPr>
          </w:p>
        </w:tc>
      </w:tr>
      <w:tr w:rsidR="00AB7FFA" w14:paraId="1C273EDF" w14:textId="77777777" w:rsidTr="006A0A2B">
        <w:trPr>
          <w:cantSplit/>
          <w:trHeight w:val="2170"/>
        </w:trPr>
        <w:tc>
          <w:tcPr>
            <w:tcW w:w="2785" w:type="dxa"/>
          </w:tcPr>
          <w:p w14:paraId="08AFD121" w14:textId="3ABE41C5" w:rsidR="00AB7FFA" w:rsidRPr="004528D6" w:rsidRDefault="00AB7FFA" w:rsidP="00170B06">
            <w:pPr>
              <w:pStyle w:val="Tablebody1"/>
              <w:rPr>
                <w:i/>
                <w:iCs/>
              </w:rPr>
            </w:pPr>
            <w:r w:rsidRPr="004528D6">
              <w:rPr>
                <w:i/>
                <w:iCs/>
              </w:rPr>
              <w:t>Health and safety</w:t>
            </w:r>
          </w:p>
        </w:tc>
        <w:tc>
          <w:tcPr>
            <w:tcW w:w="6231" w:type="dxa"/>
          </w:tcPr>
          <w:p w14:paraId="5BF68A5F" w14:textId="5672B8B7" w:rsidR="00AB7FFA" w:rsidRPr="004528D6" w:rsidRDefault="00BC6EB5" w:rsidP="00170B06">
            <w:pPr>
              <w:pStyle w:val="Tablebody1"/>
              <w:rPr>
                <w:i/>
                <w:iCs/>
              </w:rPr>
            </w:pPr>
            <w:r w:rsidRPr="004528D6">
              <w:rPr>
                <w:i/>
                <w:iCs/>
              </w:rPr>
              <w:t>The student’s</w:t>
            </w:r>
            <w:r w:rsidR="00792BE3" w:rsidRPr="004528D6">
              <w:rPr>
                <w:i/>
                <w:iCs/>
              </w:rPr>
              <w:t xml:space="preserve"> plan links to industry standards by showing how risks will be controlled onsite. </w:t>
            </w:r>
            <w:r w:rsidRPr="004528D6">
              <w:rPr>
                <w:i/>
                <w:iCs/>
              </w:rPr>
              <w:t>They</w:t>
            </w:r>
            <w:r w:rsidR="00792BE3" w:rsidRPr="004528D6">
              <w:rPr>
                <w:i/>
                <w:iCs/>
              </w:rPr>
              <w:t xml:space="preserve"> identif</w:t>
            </w:r>
            <w:r w:rsidRPr="004528D6">
              <w:rPr>
                <w:i/>
                <w:iCs/>
              </w:rPr>
              <w:t>y</w:t>
            </w:r>
            <w:r w:rsidR="00792BE3" w:rsidRPr="004528D6">
              <w:rPr>
                <w:i/>
                <w:iCs/>
              </w:rPr>
              <w:t xml:space="preserve"> safe access routes, PPE, signage and risk assessments, reflecting the requirement that “safe access and exit routes must be planned… PPE, signage and risk assessments protect workers”. </w:t>
            </w:r>
            <w:r w:rsidRPr="004528D6">
              <w:rPr>
                <w:i/>
                <w:iCs/>
              </w:rPr>
              <w:t xml:space="preserve">Their </w:t>
            </w:r>
            <w:r w:rsidR="00792BE3" w:rsidRPr="004528D6">
              <w:rPr>
                <w:i/>
                <w:iCs/>
              </w:rPr>
              <w:t xml:space="preserve">approach shows </w:t>
            </w:r>
            <w:r w:rsidRPr="004528D6">
              <w:rPr>
                <w:i/>
                <w:iCs/>
              </w:rPr>
              <w:t xml:space="preserve">they </w:t>
            </w:r>
            <w:r w:rsidR="00792BE3" w:rsidRPr="004528D6">
              <w:rPr>
                <w:i/>
                <w:iCs/>
              </w:rPr>
              <w:t>understand how safety regulations guide installation work.</w:t>
            </w:r>
          </w:p>
        </w:tc>
      </w:tr>
      <w:tr w:rsidR="00AB7FFA" w14:paraId="4FD456B2" w14:textId="77777777" w:rsidTr="006A0A2B">
        <w:trPr>
          <w:cantSplit/>
          <w:trHeight w:val="2102"/>
        </w:trPr>
        <w:tc>
          <w:tcPr>
            <w:tcW w:w="2785" w:type="dxa"/>
          </w:tcPr>
          <w:p w14:paraId="6E33C215" w14:textId="4F50A631" w:rsidR="00AB7FFA" w:rsidRDefault="00AB7FFA" w:rsidP="00AB7FFA">
            <w:pPr>
              <w:pStyle w:val="Tablebody1"/>
            </w:pPr>
            <w:r>
              <w:t>Specialist equipment</w:t>
            </w:r>
          </w:p>
        </w:tc>
        <w:tc>
          <w:tcPr>
            <w:tcW w:w="6231" w:type="dxa"/>
          </w:tcPr>
          <w:p w14:paraId="52A99C0C" w14:textId="335ADB2B" w:rsidR="00AB7FFA" w:rsidRDefault="00BC6EB5" w:rsidP="00AB7FFA">
            <w:pPr>
              <w:pStyle w:val="Tablebody1"/>
            </w:pPr>
            <w:r>
              <w:t xml:space="preserve">The student </w:t>
            </w:r>
            <w:r w:rsidR="00792BE3" w:rsidRPr="00792BE3">
              <w:t xml:space="preserve">connects </w:t>
            </w:r>
            <w:r>
              <w:t xml:space="preserve">their </w:t>
            </w:r>
            <w:r w:rsidR="00792BE3" w:rsidRPr="00792BE3">
              <w:t xml:space="preserve">planning to industry expectations by identifying the specialist equipment needed and explaining when it will be used. The script notes that “specialist equipment is essential for safe and efficient installation”, and </w:t>
            </w:r>
            <w:r>
              <w:t>their</w:t>
            </w:r>
            <w:r w:rsidR="00792BE3" w:rsidRPr="00792BE3">
              <w:t xml:space="preserve"> plan reflects this by selecting appropriate tools that support accuracy, efficiency and compliance</w:t>
            </w:r>
          </w:p>
        </w:tc>
      </w:tr>
      <w:tr w:rsidR="00AB7FFA" w14:paraId="23AA2D91" w14:textId="77777777" w:rsidTr="00170B06">
        <w:trPr>
          <w:cantSplit/>
          <w:trHeight w:val="2736"/>
        </w:trPr>
        <w:tc>
          <w:tcPr>
            <w:tcW w:w="2785" w:type="dxa"/>
          </w:tcPr>
          <w:p w14:paraId="22964F90" w14:textId="2CFEEF50" w:rsidR="00AB7FFA" w:rsidRDefault="00AB7FFA" w:rsidP="00AB7FFA">
            <w:pPr>
              <w:pStyle w:val="Tablebody1"/>
            </w:pPr>
            <w:r>
              <w:t xml:space="preserve">Contractors and </w:t>
            </w:r>
            <w:r w:rsidR="006A0A2B">
              <w:t>j</w:t>
            </w:r>
            <w:r>
              <w:t>ob roles</w:t>
            </w:r>
          </w:p>
        </w:tc>
        <w:tc>
          <w:tcPr>
            <w:tcW w:w="6231" w:type="dxa"/>
          </w:tcPr>
          <w:p w14:paraId="7B771D40" w14:textId="353B9AC1" w:rsidR="00AB7FFA" w:rsidRDefault="00BC6EB5" w:rsidP="00AB7FFA">
            <w:pPr>
              <w:pStyle w:val="Tablebody1"/>
            </w:pPr>
            <w:r>
              <w:t xml:space="preserve">Their </w:t>
            </w:r>
            <w:r w:rsidR="00792BE3" w:rsidRPr="00792BE3">
              <w:t xml:space="preserve">planning aligns with industry practice by recognising the different trades involved and how their tasks link together. The script explains that “different trades are involved at each stage… electricians connect renewable systems, plumbers handle water circuits, and carpenters prepare modular structures”, and </w:t>
            </w:r>
            <w:r>
              <w:t>the student</w:t>
            </w:r>
            <w:r w:rsidR="00792BE3" w:rsidRPr="00792BE3">
              <w:t xml:space="preserve"> reflects this by mapping roles to tasks and sequencing work realistically.</w:t>
            </w:r>
          </w:p>
        </w:tc>
      </w:tr>
      <w:tr w:rsidR="00AB7FFA" w14:paraId="1F39CF87" w14:textId="77777777" w:rsidTr="00170B06">
        <w:trPr>
          <w:cantSplit/>
          <w:trHeight w:val="2736"/>
        </w:trPr>
        <w:tc>
          <w:tcPr>
            <w:tcW w:w="2785" w:type="dxa"/>
          </w:tcPr>
          <w:p w14:paraId="028D911B" w14:textId="568F1800" w:rsidR="00AB7FFA" w:rsidRDefault="00AB7FFA" w:rsidP="00AB7FFA">
            <w:pPr>
              <w:pStyle w:val="Tablebody1"/>
            </w:pPr>
            <w:r>
              <w:t>Waste management</w:t>
            </w:r>
          </w:p>
        </w:tc>
        <w:tc>
          <w:tcPr>
            <w:tcW w:w="6231" w:type="dxa"/>
          </w:tcPr>
          <w:p w14:paraId="0C04623F" w14:textId="75F3920D" w:rsidR="00AB7FFA" w:rsidRDefault="00BC6EB5" w:rsidP="00AB7FFA">
            <w:pPr>
              <w:pStyle w:val="Tablebody1"/>
            </w:pPr>
            <w:r>
              <w:t>The student’s</w:t>
            </w:r>
            <w:r w:rsidR="00792BE3" w:rsidRPr="00792BE3">
              <w:t xml:space="preserve"> plan meets industry standards by explaining how waste will be sorted, stored and disposed of. The script states that “waste must be sorted into categories… contractors must follow the Site Waste Management Plan (SWMP)”, and </w:t>
            </w:r>
            <w:r>
              <w:t>their</w:t>
            </w:r>
            <w:r w:rsidR="00792BE3" w:rsidRPr="00792BE3">
              <w:t xml:space="preserve"> planning mirrors this by identifying recycling opportunities, hazardous waste requirements and the need for proper documentation.</w:t>
            </w:r>
          </w:p>
        </w:tc>
      </w:tr>
      <w:bookmarkEnd w:id="0"/>
      <w:bookmarkEnd w:id="1"/>
      <w:bookmarkEnd w:id="2"/>
    </w:tbl>
    <w:p w14:paraId="55F97A49" w14:textId="77777777" w:rsidR="005405B3" w:rsidRDefault="005405B3" w:rsidP="00296FE8"/>
    <w:sectPr w:rsidR="005405B3" w:rsidSect="004A1849">
      <w:headerReference w:type="default" r:id="rId9"/>
      <w:footerReference w:type="default" r:id="rId10"/>
      <w:pgSz w:w="11906" w:h="16838"/>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7B3E9" w14:textId="77777777" w:rsidR="001742CE" w:rsidRDefault="001742CE" w:rsidP="000C51BB">
      <w:pPr>
        <w:spacing w:after="0" w:line="240" w:lineRule="auto"/>
      </w:pPr>
      <w:r>
        <w:separator/>
      </w:r>
    </w:p>
  </w:endnote>
  <w:endnote w:type="continuationSeparator" w:id="0">
    <w:p w14:paraId="18CD62D2" w14:textId="77777777" w:rsidR="001742CE" w:rsidRDefault="001742CE"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24E1" w14:textId="77777777" w:rsidR="00F419C9" w:rsidRDefault="00F419C9" w:rsidP="00F419C9">
    <w:pPr>
      <w:widowControl w:val="0"/>
      <w:pBdr>
        <w:top w:val="nil"/>
        <w:left w:val="nil"/>
        <w:bottom w:val="nil"/>
        <w:right w:val="nil"/>
        <w:between w:val="nil"/>
      </w:pBdr>
      <w:spacing w:after="0" w:line="276" w:lineRule="auto"/>
      <w:rPr>
        <w:sz w:val="20"/>
        <w:szCs w:val="20"/>
      </w:rPr>
    </w:pPr>
  </w:p>
  <w:tbl>
    <w:tblPr>
      <w:tblW w:w="9026"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5251"/>
      <w:gridCol w:w="3775"/>
    </w:tblGrid>
    <w:tr w:rsidR="00F419C9" w14:paraId="6134994E" w14:textId="77777777" w:rsidTr="00D37C7D">
      <w:tc>
        <w:tcPr>
          <w:tcW w:w="9026" w:type="dxa"/>
          <w:gridSpan w:val="2"/>
          <w:tcBorders>
            <w:bottom w:val="nil"/>
          </w:tcBorders>
        </w:tcPr>
        <w:p w14:paraId="1E348DE7" w14:textId="249A54DD" w:rsidR="00F419C9" w:rsidRDefault="00F419C9" w:rsidP="00F419C9">
          <w:pPr>
            <w:pBdr>
              <w:top w:val="nil"/>
              <w:left w:val="nil"/>
              <w:bottom w:val="nil"/>
              <w:right w:val="nil"/>
              <w:between w:val="nil"/>
            </w:pBdr>
            <w:tabs>
              <w:tab w:val="center" w:pos="4513"/>
              <w:tab w:val="right" w:pos="9026"/>
            </w:tabs>
            <w:spacing w:after="120"/>
            <w:rPr>
              <w:sz w:val="18"/>
              <w:szCs w:val="18"/>
            </w:rPr>
          </w:pPr>
          <w:r>
            <w:rPr>
              <w:sz w:val="20"/>
              <w:szCs w:val="20"/>
            </w:rPr>
            <w:t>Construction BSE: Employer-set Project</w:t>
          </w:r>
          <w:r w:rsidR="00670A67" w:rsidRPr="00670A67">
            <w:rPr>
              <w:sz w:val="20"/>
              <w:szCs w:val="20"/>
            </w:rPr>
            <w:t xml:space="preserve"> (Research, planning and evaluation)</w:t>
          </w:r>
        </w:p>
      </w:tc>
    </w:tr>
    <w:tr w:rsidR="00F419C9" w14:paraId="25E42FED" w14:textId="77777777" w:rsidTr="00D37C7D">
      <w:tc>
        <w:tcPr>
          <w:tcW w:w="5251" w:type="dxa"/>
          <w:tcBorders>
            <w:top w:val="nil"/>
            <w:bottom w:val="single" w:sz="12" w:space="0" w:color="EBDDF4"/>
          </w:tcBorders>
        </w:tcPr>
        <w:p w14:paraId="39EA1CA1" w14:textId="147CE6C3" w:rsidR="00F419C9" w:rsidRDefault="00F419C9" w:rsidP="00F419C9">
          <w:pPr>
            <w:pBdr>
              <w:top w:val="nil"/>
              <w:left w:val="nil"/>
              <w:bottom w:val="nil"/>
              <w:right w:val="nil"/>
              <w:between w:val="nil"/>
            </w:pBdr>
            <w:tabs>
              <w:tab w:val="center" w:pos="4513"/>
              <w:tab w:val="right" w:pos="9026"/>
            </w:tabs>
            <w:spacing w:after="120"/>
            <w:rPr>
              <w:sz w:val="20"/>
              <w:szCs w:val="20"/>
            </w:rPr>
          </w:pPr>
          <w:r>
            <w:rPr>
              <w:sz w:val="20"/>
              <w:szCs w:val="20"/>
            </w:rPr>
            <w:t xml:space="preserve">Version 1, </w:t>
          </w:r>
          <w:r w:rsidR="00851B79">
            <w:rPr>
              <w:sz w:val="20"/>
              <w:szCs w:val="20"/>
            </w:rPr>
            <w:t>June</w:t>
          </w:r>
          <w:r>
            <w:rPr>
              <w:sz w:val="20"/>
              <w:szCs w:val="20"/>
            </w:rPr>
            <w:t xml:space="preserve"> 2026</w:t>
          </w:r>
        </w:p>
      </w:tc>
      <w:tc>
        <w:tcPr>
          <w:tcW w:w="3775" w:type="dxa"/>
          <w:tcBorders>
            <w:top w:val="nil"/>
            <w:bottom w:val="single" w:sz="12" w:space="0" w:color="EBDDF4"/>
          </w:tcBorders>
          <w:vAlign w:val="bottom"/>
        </w:tcPr>
        <w:p w14:paraId="6559176A" w14:textId="77777777" w:rsidR="00F419C9" w:rsidRDefault="00F419C9" w:rsidP="00F419C9">
          <w:pPr>
            <w:pBdr>
              <w:top w:val="nil"/>
              <w:left w:val="nil"/>
              <w:bottom w:val="nil"/>
              <w:right w:val="nil"/>
              <w:between w:val="nil"/>
            </w:pBdr>
            <w:tabs>
              <w:tab w:val="center" w:pos="4513"/>
              <w:tab w:val="right" w:pos="9026"/>
            </w:tabs>
            <w:spacing w:after="120"/>
            <w:ind w:right="-152"/>
            <w:jc w:val="center"/>
            <w:rPr>
              <w:sz w:val="20"/>
              <w:szCs w:val="20"/>
            </w:rPr>
          </w:pPr>
          <w:r>
            <w:rPr>
              <w:sz w:val="18"/>
              <w:szCs w:val="18"/>
            </w:rPr>
            <w:t>© Gatsby Technical Education Projects 2026</w:t>
          </w:r>
        </w:p>
      </w:tc>
    </w:tr>
  </w:tbl>
  <w:p w14:paraId="3E0F5896" w14:textId="35C7298D" w:rsidR="00F419C9" w:rsidRDefault="00653DF9" w:rsidP="00F419C9">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br/>
    </w:r>
    <w:r w:rsidR="00F419C9">
      <w:rPr>
        <w:color w:val="808080"/>
        <w:sz w:val="20"/>
        <w:szCs w:val="20"/>
      </w:rPr>
      <w:fldChar w:fldCharType="begin"/>
    </w:r>
    <w:r w:rsidR="00F419C9">
      <w:rPr>
        <w:color w:val="808080"/>
        <w:sz w:val="20"/>
        <w:szCs w:val="20"/>
      </w:rPr>
      <w:instrText>PAGE</w:instrText>
    </w:r>
    <w:r w:rsidR="00F419C9">
      <w:rPr>
        <w:color w:val="808080"/>
        <w:sz w:val="20"/>
        <w:szCs w:val="20"/>
      </w:rPr>
      <w:fldChar w:fldCharType="separate"/>
    </w:r>
    <w:r w:rsidR="00F419C9">
      <w:rPr>
        <w:color w:val="808080"/>
        <w:sz w:val="20"/>
        <w:szCs w:val="20"/>
      </w:rPr>
      <w:t>1</w:t>
    </w:r>
    <w:r w:rsidR="00F419C9">
      <w:rPr>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A32FF" w14:textId="77777777" w:rsidR="001742CE" w:rsidRDefault="001742CE" w:rsidP="000C51BB">
      <w:pPr>
        <w:spacing w:after="0" w:line="240" w:lineRule="auto"/>
      </w:pPr>
      <w:r>
        <w:separator/>
      </w:r>
    </w:p>
  </w:footnote>
  <w:footnote w:type="continuationSeparator" w:id="0">
    <w:p w14:paraId="766B10EB" w14:textId="77777777" w:rsidR="001742CE" w:rsidRDefault="001742CE"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2130"/>
      <w:gridCol w:w="6896"/>
    </w:tblGrid>
    <w:tr w:rsidR="00F419C9" w14:paraId="3B792E85" w14:textId="77777777" w:rsidTr="00D37C7D">
      <w:tc>
        <w:tcPr>
          <w:tcW w:w="2130" w:type="dxa"/>
          <w:tcBorders>
            <w:bottom w:val="single" w:sz="12" w:space="0" w:color="EBDDF4"/>
          </w:tcBorders>
        </w:tcPr>
        <w:p w14:paraId="3959126B" w14:textId="77777777" w:rsidR="00F419C9" w:rsidRDefault="00F419C9" w:rsidP="00F419C9">
          <w:pPr>
            <w:pBdr>
              <w:top w:val="nil"/>
              <w:left w:val="nil"/>
              <w:bottom w:val="nil"/>
              <w:right w:val="nil"/>
              <w:between w:val="nil"/>
            </w:pBdr>
            <w:tabs>
              <w:tab w:val="center" w:pos="4513"/>
              <w:tab w:val="right" w:pos="9026"/>
            </w:tabs>
            <w:spacing w:after="120"/>
            <w:rPr>
              <w:sz w:val="20"/>
              <w:szCs w:val="20"/>
            </w:rPr>
          </w:pPr>
        </w:p>
      </w:tc>
      <w:tc>
        <w:tcPr>
          <w:tcW w:w="6896" w:type="dxa"/>
          <w:tcBorders>
            <w:bottom w:val="single" w:sz="12" w:space="0" w:color="EBDDF4"/>
          </w:tcBorders>
        </w:tcPr>
        <w:p w14:paraId="292466B8" w14:textId="529024B8" w:rsidR="00F419C9" w:rsidRDefault="00F419C9" w:rsidP="00F419C9">
          <w:pPr>
            <w:pBdr>
              <w:top w:val="nil"/>
              <w:left w:val="nil"/>
              <w:bottom w:val="nil"/>
              <w:right w:val="nil"/>
              <w:between w:val="nil"/>
            </w:pBdr>
            <w:tabs>
              <w:tab w:val="center" w:pos="4513"/>
              <w:tab w:val="right" w:pos="9026"/>
            </w:tabs>
            <w:spacing w:after="120"/>
            <w:jc w:val="right"/>
            <w:rPr>
              <w:sz w:val="20"/>
              <w:szCs w:val="20"/>
            </w:rPr>
          </w:pPr>
          <w:r>
            <w:rPr>
              <w:sz w:val="20"/>
              <w:szCs w:val="20"/>
            </w:rPr>
            <w:t xml:space="preserve">Resource 2: </w:t>
          </w:r>
          <w:r w:rsidRPr="00F419C9">
            <w:rPr>
              <w:sz w:val="20"/>
              <w:szCs w:val="20"/>
            </w:rPr>
            <w:t>Planning documents (Gantt charts)</w:t>
          </w:r>
        </w:p>
        <w:p w14:paraId="74855E22" w14:textId="761662E0" w:rsidR="00F419C9" w:rsidRDefault="00F419C9" w:rsidP="00F419C9">
          <w:pPr>
            <w:pBdr>
              <w:top w:val="nil"/>
              <w:left w:val="nil"/>
              <w:bottom w:val="nil"/>
              <w:right w:val="nil"/>
              <w:between w:val="nil"/>
            </w:pBdr>
            <w:tabs>
              <w:tab w:val="center" w:pos="4513"/>
              <w:tab w:val="right" w:pos="9026"/>
            </w:tabs>
            <w:spacing w:after="120"/>
            <w:jc w:val="right"/>
            <w:rPr>
              <w:sz w:val="20"/>
              <w:szCs w:val="20"/>
            </w:rPr>
          </w:pPr>
          <w:r>
            <w:rPr>
              <w:sz w:val="20"/>
              <w:szCs w:val="20"/>
            </w:rPr>
            <w:t>Activity 2 Worksheet</w:t>
          </w:r>
          <w:r w:rsidR="008910F0">
            <w:rPr>
              <w:sz w:val="20"/>
              <w:szCs w:val="20"/>
            </w:rPr>
            <w:t xml:space="preserve"> answers</w:t>
          </w:r>
        </w:p>
      </w:tc>
    </w:tr>
  </w:tbl>
  <w:p w14:paraId="32FA7B02" w14:textId="77777777" w:rsidR="00F419C9" w:rsidRDefault="00F419C9" w:rsidP="00F419C9">
    <w:pPr>
      <w:pBdr>
        <w:top w:val="nil"/>
        <w:left w:val="nil"/>
        <w:bottom w:val="nil"/>
        <w:right w:val="nil"/>
        <w:between w:val="nil"/>
      </w:pBdr>
      <w:tabs>
        <w:tab w:val="center" w:pos="4513"/>
        <w:tab w:val="right" w:pos="9026"/>
      </w:tabs>
      <w:spacing w:after="0" w:line="240" w:lineRule="auto"/>
      <w:rPr>
        <w:sz w:val="20"/>
        <w:szCs w:val="20"/>
      </w:rPr>
    </w:pPr>
    <w:r>
      <w:rPr>
        <w:noProof/>
      </w:rPr>
      <w:drawing>
        <wp:anchor distT="0" distB="0" distL="114300" distR="114300" simplePos="0" relativeHeight="251659264" behindDoc="0" locked="0" layoutInCell="1" hidden="0" allowOverlap="1" wp14:anchorId="4E4DDBA2" wp14:editId="1BEFC2E0">
          <wp:simplePos x="0" y="0"/>
          <wp:positionH relativeFrom="column">
            <wp:posOffset>2</wp:posOffset>
          </wp:positionH>
          <wp:positionV relativeFrom="paragraph">
            <wp:posOffset>-601343</wp:posOffset>
          </wp:positionV>
          <wp:extent cx="1137557" cy="47754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4C98"/>
    <w:multiLevelType w:val="hybridMultilevel"/>
    <w:tmpl w:val="44E42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C184B"/>
    <w:multiLevelType w:val="hybridMultilevel"/>
    <w:tmpl w:val="6374B0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F7698F"/>
    <w:multiLevelType w:val="hybridMultilevel"/>
    <w:tmpl w:val="C6AA0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3536A"/>
    <w:multiLevelType w:val="hybridMultilevel"/>
    <w:tmpl w:val="8B2A6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C30D04"/>
    <w:multiLevelType w:val="hybridMultilevel"/>
    <w:tmpl w:val="1730E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D54020"/>
    <w:multiLevelType w:val="hybridMultilevel"/>
    <w:tmpl w:val="A014B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B3146D"/>
    <w:multiLevelType w:val="hybridMultilevel"/>
    <w:tmpl w:val="AB78C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4409D5"/>
    <w:multiLevelType w:val="hybridMultilevel"/>
    <w:tmpl w:val="CF520C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7D5373"/>
    <w:multiLevelType w:val="hybridMultilevel"/>
    <w:tmpl w:val="5D865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700F70"/>
    <w:multiLevelType w:val="multilevel"/>
    <w:tmpl w:val="18BAF8D2"/>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10899930">
    <w:abstractNumId w:val="3"/>
  </w:num>
  <w:num w:numId="2" w16cid:durableId="1490175218">
    <w:abstractNumId w:val="10"/>
  </w:num>
  <w:num w:numId="3" w16cid:durableId="1035498738">
    <w:abstractNumId w:val="7"/>
  </w:num>
  <w:num w:numId="4" w16cid:durableId="889072046">
    <w:abstractNumId w:val="6"/>
  </w:num>
  <w:num w:numId="5" w16cid:durableId="1723672247">
    <w:abstractNumId w:val="9"/>
  </w:num>
  <w:num w:numId="6" w16cid:durableId="1357730224">
    <w:abstractNumId w:val="0"/>
  </w:num>
  <w:num w:numId="7" w16cid:durableId="852458214">
    <w:abstractNumId w:val="2"/>
  </w:num>
  <w:num w:numId="8" w16cid:durableId="1925070565">
    <w:abstractNumId w:val="4"/>
  </w:num>
  <w:num w:numId="9" w16cid:durableId="1757363381">
    <w:abstractNumId w:val="5"/>
  </w:num>
  <w:num w:numId="10" w16cid:durableId="1962302862">
    <w:abstractNumId w:val="8"/>
  </w:num>
  <w:num w:numId="11" w16cid:durableId="149934281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hideSpellingErrors/>
  <w:hideGrammaticalErrors/>
  <w:proofState w:spelling="clean"/>
  <w:defaultTabStop w:val="720"/>
  <w:defaultTableStyle w:val="TableGridLigh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xNDMyMTEwNDE3MjBR0lEKTi0uzszPAykwrQUAi0TLYiwAAAA="/>
  </w:docVars>
  <w:rsids>
    <w:rsidRoot w:val="000C51BB"/>
    <w:rsid w:val="00005414"/>
    <w:rsid w:val="000105AB"/>
    <w:rsid w:val="00014683"/>
    <w:rsid w:val="000361B9"/>
    <w:rsid w:val="00041B75"/>
    <w:rsid w:val="00041F60"/>
    <w:rsid w:val="000470E0"/>
    <w:rsid w:val="000628D6"/>
    <w:rsid w:val="000666EB"/>
    <w:rsid w:val="0007261D"/>
    <w:rsid w:val="000813AC"/>
    <w:rsid w:val="00083A47"/>
    <w:rsid w:val="00085EC9"/>
    <w:rsid w:val="000A319C"/>
    <w:rsid w:val="000A55AB"/>
    <w:rsid w:val="000C51BB"/>
    <w:rsid w:val="000C6447"/>
    <w:rsid w:val="000D113C"/>
    <w:rsid w:val="000D14D3"/>
    <w:rsid w:val="000F0146"/>
    <w:rsid w:val="00114A4E"/>
    <w:rsid w:val="001215AA"/>
    <w:rsid w:val="00125949"/>
    <w:rsid w:val="00141B22"/>
    <w:rsid w:val="00142E67"/>
    <w:rsid w:val="00145A92"/>
    <w:rsid w:val="001477A2"/>
    <w:rsid w:val="001503BE"/>
    <w:rsid w:val="0015407E"/>
    <w:rsid w:val="0015537E"/>
    <w:rsid w:val="0016745C"/>
    <w:rsid w:val="00170B06"/>
    <w:rsid w:val="001742CE"/>
    <w:rsid w:val="00180C45"/>
    <w:rsid w:val="00195DBA"/>
    <w:rsid w:val="001C2505"/>
    <w:rsid w:val="001E0682"/>
    <w:rsid w:val="001E0AA7"/>
    <w:rsid w:val="001E1374"/>
    <w:rsid w:val="001F64B8"/>
    <w:rsid w:val="00215F3E"/>
    <w:rsid w:val="00225715"/>
    <w:rsid w:val="002869AF"/>
    <w:rsid w:val="00296FE8"/>
    <w:rsid w:val="002B09DF"/>
    <w:rsid w:val="002B68A4"/>
    <w:rsid w:val="002C0C80"/>
    <w:rsid w:val="002C713F"/>
    <w:rsid w:val="002C7D5F"/>
    <w:rsid w:val="002E0323"/>
    <w:rsid w:val="002E67BF"/>
    <w:rsid w:val="002F1DF5"/>
    <w:rsid w:val="00307422"/>
    <w:rsid w:val="00377A27"/>
    <w:rsid w:val="00383D59"/>
    <w:rsid w:val="003878CC"/>
    <w:rsid w:val="003A4BF3"/>
    <w:rsid w:val="003B319C"/>
    <w:rsid w:val="003C2C24"/>
    <w:rsid w:val="003D46AC"/>
    <w:rsid w:val="003F0B9C"/>
    <w:rsid w:val="003F4E68"/>
    <w:rsid w:val="004210B0"/>
    <w:rsid w:val="00445C22"/>
    <w:rsid w:val="004528D6"/>
    <w:rsid w:val="00453645"/>
    <w:rsid w:val="00462D3E"/>
    <w:rsid w:val="004635D4"/>
    <w:rsid w:val="00464106"/>
    <w:rsid w:val="0048092F"/>
    <w:rsid w:val="00492FD7"/>
    <w:rsid w:val="00493B93"/>
    <w:rsid w:val="00497093"/>
    <w:rsid w:val="004A1849"/>
    <w:rsid w:val="004B4FB7"/>
    <w:rsid w:val="004C11F0"/>
    <w:rsid w:val="004D0A89"/>
    <w:rsid w:val="004E651D"/>
    <w:rsid w:val="004F4859"/>
    <w:rsid w:val="00504D35"/>
    <w:rsid w:val="00507D85"/>
    <w:rsid w:val="00523545"/>
    <w:rsid w:val="00530CE1"/>
    <w:rsid w:val="0053400E"/>
    <w:rsid w:val="005369B8"/>
    <w:rsid w:val="005405B3"/>
    <w:rsid w:val="0054776C"/>
    <w:rsid w:val="00560965"/>
    <w:rsid w:val="00562E15"/>
    <w:rsid w:val="00570DA5"/>
    <w:rsid w:val="005A5CFF"/>
    <w:rsid w:val="005B4FE8"/>
    <w:rsid w:val="005C4614"/>
    <w:rsid w:val="005D51CF"/>
    <w:rsid w:val="005F1491"/>
    <w:rsid w:val="00616735"/>
    <w:rsid w:val="00634E5B"/>
    <w:rsid w:val="00653DF9"/>
    <w:rsid w:val="00657BAA"/>
    <w:rsid w:val="00670A30"/>
    <w:rsid w:val="00670A67"/>
    <w:rsid w:val="00687F51"/>
    <w:rsid w:val="006A0A2B"/>
    <w:rsid w:val="006A42C1"/>
    <w:rsid w:val="006B0E8B"/>
    <w:rsid w:val="006D2B09"/>
    <w:rsid w:val="006F14BC"/>
    <w:rsid w:val="006F363E"/>
    <w:rsid w:val="00706B6D"/>
    <w:rsid w:val="007208B6"/>
    <w:rsid w:val="00736FF8"/>
    <w:rsid w:val="00755052"/>
    <w:rsid w:val="00770D34"/>
    <w:rsid w:val="00773A05"/>
    <w:rsid w:val="00785519"/>
    <w:rsid w:val="00791AFC"/>
    <w:rsid w:val="00792BE3"/>
    <w:rsid w:val="007A0539"/>
    <w:rsid w:val="007A566B"/>
    <w:rsid w:val="007B087F"/>
    <w:rsid w:val="007D3959"/>
    <w:rsid w:val="007E1527"/>
    <w:rsid w:val="007E5300"/>
    <w:rsid w:val="007E5ABD"/>
    <w:rsid w:val="007E6903"/>
    <w:rsid w:val="007F3200"/>
    <w:rsid w:val="007F3285"/>
    <w:rsid w:val="008052C6"/>
    <w:rsid w:val="0082770C"/>
    <w:rsid w:val="0084463F"/>
    <w:rsid w:val="00851B79"/>
    <w:rsid w:val="00856F7C"/>
    <w:rsid w:val="00862C5D"/>
    <w:rsid w:val="00871DC8"/>
    <w:rsid w:val="00890D15"/>
    <w:rsid w:val="008910F0"/>
    <w:rsid w:val="00891891"/>
    <w:rsid w:val="00895844"/>
    <w:rsid w:val="008B1F22"/>
    <w:rsid w:val="008C060B"/>
    <w:rsid w:val="008C209D"/>
    <w:rsid w:val="008E7C66"/>
    <w:rsid w:val="008F5027"/>
    <w:rsid w:val="00901212"/>
    <w:rsid w:val="00917245"/>
    <w:rsid w:val="009370EE"/>
    <w:rsid w:val="0094470F"/>
    <w:rsid w:val="0097077C"/>
    <w:rsid w:val="0099395B"/>
    <w:rsid w:val="009B106B"/>
    <w:rsid w:val="009C2BB3"/>
    <w:rsid w:val="009D7D43"/>
    <w:rsid w:val="009E017A"/>
    <w:rsid w:val="009E4FAD"/>
    <w:rsid w:val="009E73C6"/>
    <w:rsid w:val="009F276A"/>
    <w:rsid w:val="009F3038"/>
    <w:rsid w:val="00A31B51"/>
    <w:rsid w:val="00A402B8"/>
    <w:rsid w:val="00A6110E"/>
    <w:rsid w:val="00AB0EBC"/>
    <w:rsid w:val="00AB7FFA"/>
    <w:rsid w:val="00AC6668"/>
    <w:rsid w:val="00AF02C5"/>
    <w:rsid w:val="00B03297"/>
    <w:rsid w:val="00B15125"/>
    <w:rsid w:val="00B20243"/>
    <w:rsid w:val="00B601A7"/>
    <w:rsid w:val="00B6376B"/>
    <w:rsid w:val="00B63B55"/>
    <w:rsid w:val="00B6484C"/>
    <w:rsid w:val="00B72662"/>
    <w:rsid w:val="00BA43D2"/>
    <w:rsid w:val="00BC245B"/>
    <w:rsid w:val="00BC6EB5"/>
    <w:rsid w:val="00BD3C79"/>
    <w:rsid w:val="00BE3F44"/>
    <w:rsid w:val="00BE5E71"/>
    <w:rsid w:val="00C172AD"/>
    <w:rsid w:val="00C21F41"/>
    <w:rsid w:val="00C2605D"/>
    <w:rsid w:val="00C348E4"/>
    <w:rsid w:val="00C34FDD"/>
    <w:rsid w:val="00C533F6"/>
    <w:rsid w:val="00C60FDF"/>
    <w:rsid w:val="00C73FDA"/>
    <w:rsid w:val="00C807DD"/>
    <w:rsid w:val="00C83E73"/>
    <w:rsid w:val="00CA0F52"/>
    <w:rsid w:val="00CB1DA8"/>
    <w:rsid w:val="00CF2151"/>
    <w:rsid w:val="00D01769"/>
    <w:rsid w:val="00D01EE6"/>
    <w:rsid w:val="00D110CA"/>
    <w:rsid w:val="00D1361D"/>
    <w:rsid w:val="00D36AEA"/>
    <w:rsid w:val="00D56034"/>
    <w:rsid w:val="00D601E8"/>
    <w:rsid w:val="00D63345"/>
    <w:rsid w:val="00D72866"/>
    <w:rsid w:val="00D83597"/>
    <w:rsid w:val="00D96F1A"/>
    <w:rsid w:val="00DA1784"/>
    <w:rsid w:val="00DA30FC"/>
    <w:rsid w:val="00DB077D"/>
    <w:rsid w:val="00DC2C62"/>
    <w:rsid w:val="00DD47BF"/>
    <w:rsid w:val="00E27D9C"/>
    <w:rsid w:val="00E37A9D"/>
    <w:rsid w:val="00E613BB"/>
    <w:rsid w:val="00E85A43"/>
    <w:rsid w:val="00EE61A9"/>
    <w:rsid w:val="00EE6E45"/>
    <w:rsid w:val="00EF23C5"/>
    <w:rsid w:val="00EF5615"/>
    <w:rsid w:val="00F04223"/>
    <w:rsid w:val="00F112FA"/>
    <w:rsid w:val="00F177EE"/>
    <w:rsid w:val="00F30790"/>
    <w:rsid w:val="00F419C9"/>
    <w:rsid w:val="00F47A76"/>
    <w:rsid w:val="00F5407A"/>
    <w:rsid w:val="00F82953"/>
    <w:rsid w:val="00F93F2C"/>
    <w:rsid w:val="00FA5BA7"/>
    <w:rsid w:val="00FB77DE"/>
    <w:rsid w:val="00FC1440"/>
    <w:rsid w:val="00FC7501"/>
    <w:rsid w:val="00FC7FB4"/>
    <w:rsid w:val="00FF0C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E9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FFA"/>
    <w:rPr>
      <w:rFonts w:ascii="Arial" w:hAnsi="Arial"/>
      <w:color w:val="0D0D0D" w:themeColor="text1" w:themeTint="F2"/>
    </w:rPr>
  </w:style>
  <w:style w:type="paragraph" w:styleId="Heading1">
    <w:name w:val="heading 1"/>
    <w:basedOn w:val="Normal"/>
    <w:next w:val="Normal"/>
    <w:link w:val="Heading1Char"/>
    <w:uiPriority w:val="9"/>
    <w:qFormat/>
    <w:rsid w:val="00114A4E"/>
    <w:pPr>
      <w:keepNext/>
      <w:keepLines/>
      <w:spacing w:before="240" w:after="200"/>
      <w:outlineLvl w:val="0"/>
    </w:pPr>
    <w:rPr>
      <w:rFonts w:eastAsiaTheme="majorEastAsia" w:cstheme="majorBidi"/>
      <w:color w:val="432673"/>
      <w:sz w:val="32"/>
      <w:szCs w:val="32"/>
    </w:rPr>
  </w:style>
  <w:style w:type="paragraph" w:styleId="Heading2">
    <w:name w:val="heading 2"/>
    <w:basedOn w:val="Normal"/>
    <w:next w:val="Normal"/>
    <w:link w:val="Heading2Char"/>
    <w:uiPriority w:val="9"/>
    <w:unhideWhenUsed/>
    <w:qFormat/>
    <w:rsid w:val="00114A4E"/>
    <w:pPr>
      <w:keepNext/>
      <w:keepLines/>
      <w:spacing w:before="40" w:after="120"/>
      <w:outlineLvl w:val="1"/>
    </w:pPr>
    <w:rPr>
      <w:rFonts w:eastAsiaTheme="majorEastAsia" w:cstheme="majorBidi"/>
      <w:color w:val="432673"/>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4A4E"/>
    <w:rPr>
      <w:rFonts w:ascii="Arial" w:eastAsiaTheme="majorEastAsia" w:hAnsi="Arial" w:cstheme="majorBidi"/>
      <w:color w:val="432673"/>
      <w:sz w:val="32"/>
      <w:szCs w:val="32"/>
    </w:rPr>
  </w:style>
  <w:style w:type="character" w:customStyle="1" w:styleId="Heading2Char">
    <w:name w:val="Heading 2 Char"/>
    <w:basedOn w:val="DefaultParagraphFont"/>
    <w:link w:val="Heading2"/>
    <w:uiPriority w:val="9"/>
    <w:rsid w:val="00114A4E"/>
    <w:rPr>
      <w:rFonts w:ascii="Arial" w:eastAsiaTheme="majorEastAsia" w:hAnsi="Arial" w:cstheme="majorBidi"/>
      <w:color w:val="432673"/>
      <w:sz w:val="28"/>
      <w:szCs w:val="28"/>
    </w:rPr>
  </w:style>
  <w:style w:type="paragraph" w:styleId="Title">
    <w:name w:val="Title"/>
    <w:basedOn w:val="Normal"/>
    <w:next w:val="Normal"/>
    <w:link w:val="TitleChar"/>
    <w:uiPriority w:val="10"/>
    <w:qFormat/>
    <w:rsid w:val="00114A4E"/>
    <w:pPr>
      <w:pBdr>
        <w:top w:val="single" w:sz="4" w:space="6" w:color="FFFFFF" w:themeColor="background1"/>
        <w:left w:val="single" w:sz="4" w:space="10" w:color="FFFFFF" w:themeColor="background1"/>
        <w:bottom w:val="single" w:sz="4" w:space="8" w:color="FFFFFF" w:themeColor="background1"/>
        <w:right w:val="single" w:sz="4" w:space="10" w:color="FFFFFF" w:themeColor="background1"/>
      </w:pBdr>
      <w:shd w:val="clear" w:color="auto" w:fill="EBDDF4"/>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114A4E"/>
    <w:rPr>
      <w:rFonts w:ascii="Arial" w:eastAsiaTheme="majorEastAsia" w:hAnsi="Arial" w:cstheme="majorBidi"/>
      <w:b/>
      <w:bCs/>
      <w:color w:val="0D0D0D" w:themeColor="text1" w:themeTint="F2"/>
      <w:spacing w:val="-10"/>
      <w:kern w:val="28"/>
      <w:sz w:val="72"/>
      <w:szCs w:val="72"/>
      <w:shd w:val="clear" w:color="auto" w:fill="EBDDF4"/>
    </w:rPr>
  </w:style>
  <w:style w:type="paragraph" w:styleId="Subtitle">
    <w:name w:val="Subtitle"/>
    <w:basedOn w:val="Normal"/>
    <w:next w:val="Normal"/>
    <w:link w:val="SubtitleChar"/>
    <w:uiPriority w:val="11"/>
    <w:qFormat/>
    <w:rsid w:val="00114A4E"/>
    <w:pPr>
      <w:numPr>
        <w:ilvl w:val="1"/>
      </w:numPr>
      <w:spacing w:after="120"/>
      <w:jc w:val="center"/>
    </w:pPr>
    <w:rPr>
      <w:rFonts w:eastAsiaTheme="minorEastAsia"/>
      <w:color w:val="432673"/>
      <w:spacing w:val="15"/>
      <w:sz w:val="36"/>
      <w:szCs w:val="28"/>
    </w:rPr>
  </w:style>
  <w:style w:type="character" w:customStyle="1" w:styleId="SubtitleChar">
    <w:name w:val="Subtitle Char"/>
    <w:basedOn w:val="DefaultParagraphFont"/>
    <w:link w:val="Subtitle"/>
    <w:uiPriority w:val="11"/>
    <w:rsid w:val="00114A4E"/>
    <w:rPr>
      <w:rFonts w:ascii="Arial" w:eastAsiaTheme="minorEastAsia" w:hAnsi="Arial"/>
      <w:color w:val="432673"/>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114A4E"/>
    <w:pPr>
      <w:pBdr>
        <w:top w:val="single" w:sz="12" w:space="8" w:color="432673"/>
        <w:bottom w:val="single" w:sz="12" w:space="8" w:color="432673"/>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114A4E"/>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rsid w:val="00D72866"/>
    <w:pPr>
      <w:ind w:left="720"/>
      <w:contextualSpacing/>
    </w:pPr>
  </w:style>
  <w:style w:type="paragraph" w:customStyle="1" w:styleId="Chapter">
    <w:name w:val="Chapter"/>
    <w:basedOn w:val="Heading1"/>
    <w:qFormat/>
    <w:rsid w:val="00114A4E"/>
    <w:pPr>
      <w:shd w:val="clear" w:color="auto" w:fill="EBDDF4"/>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1"/>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rsid w:val="00B601A7"/>
    <w:pPr>
      <w:spacing w:after="0"/>
      <w:outlineLvl w:val="9"/>
    </w:pPr>
    <w:rPr>
      <w:rFonts w:asciiTheme="majorHAnsi" w:hAnsiTheme="majorHAnsi"/>
      <w:color w:val="2F5496" w:themeColor="accent1" w:themeShade="BF"/>
      <w:kern w:val="0"/>
      <w:lang w:val="en-US"/>
      <w14:ligatures w14:val="none"/>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14:ligatures w14:val="none"/>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14:ligatures w14:val="none"/>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14:ligatures w14:val="none"/>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862C5D"/>
    <w:rPr>
      <w:rFonts w:ascii="Arial Narrow" w:hAnsi="Arial Narrow"/>
      <w:caps/>
      <w:color w:val="534C29"/>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styleId="CommentReference">
    <w:name w:val="annotation reference"/>
    <w:basedOn w:val="DefaultParagraphFont"/>
    <w:uiPriority w:val="99"/>
    <w:semiHidden/>
    <w:unhideWhenUsed/>
    <w:rsid w:val="00BC245B"/>
    <w:rPr>
      <w:sz w:val="16"/>
      <w:szCs w:val="16"/>
    </w:rPr>
  </w:style>
  <w:style w:type="paragraph" w:styleId="CommentText">
    <w:name w:val="annotation text"/>
    <w:basedOn w:val="Normal"/>
    <w:link w:val="CommentTextChar"/>
    <w:uiPriority w:val="99"/>
    <w:unhideWhenUsed/>
    <w:rsid w:val="00BC245B"/>
    <w:pPr>
      <w:spacing w:line="240" w:lineRule="auto"/>
    </w:pPr>
    <w:rPr>
      <w:sz w:val="20"/>
      <w:szCs w:val="20"/>
    </w:rPr>
  </w:style>
  <w:style w:type="character" w:customStyle="1" w:styleId="CommentTextChar">
    <w:name w:val="Comment Text Char"/>
    <w:basedOn w:val="DefaultParagraphFont"/>
    <w:link w:val="CommentText"/>
    <w:uiPriority w:val="99"/>
    <w:rsid w:val="00BC245B"/>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BC245B"/>
    <w:rPr>
      <w:b/>
      <w:bCs/>
    </w:rPr>
  </w:style>
  <w:style w:type="character" w:customStyle="1" w:styleId="CommentSubjectChar">
    <w:name w:val="Comment Subject Char"/>
    <w:basedOn w:val="CommentTextChar"/>
    <w:link w:val="CommentSubject"/>
    <w:uiPriority w:val="99"/>
    <w:semiHidden/>
    <w:rsid w:val="00BC245B"/>
    <w:rPr>
      <w:rFonts w:ascii="Arial" w:hAnsi="Arial"/>
      <w:b/>
      <w:bCs/>
      <w:color w:val="0D0D0D" w:themeColor="text1" w:themeTint="F2"/>
      <w:sz w:val="20"/>
      <w:szCs w:val="20"/>
    </w:rPr>
  </w:style>
  <w:style w:type="paragraph" w:styleId="Revision">
    <w:name w:val="Revision"/>
    <w:hidden/>
    <w:uiPriority w:val="99"/>
    <w:semiHidden/>
    <w:rsid w:val="009E4FAD"/>
    <w:pPr>
      <w:spacing w:after="0" w:line="240" w:lineRule="auto"/>
    </w:pPr>
    <w:rPr>
      <w:rFonts w:ascii="Arial" w:hAnsi="Arial"/>
      <w:color w:val="0D0D0D" w:themeColor="text1" w:themeTint="F2"/>
    </w:rPr>
  </w:style>
  <w:style w:type="character" w:styleId="FollowedHyperlink">
    <w:name w:val="FollowedHyperlink"/>
    <w:basedOn w:val="DefaultParagraphFont"/>
    <w:uiPriority w:val="99"/>
    <w:semiHidden/>
    <w:unhideWhenUsed/>
    <w:rsid w:val="00DB07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1200701428/fb706fb14f"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fb43fb1aa4e59332d5b0f19b84463a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72831a12c1f50ef4f14741b0b460a1ce"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5249C-36BB-4642-9E61-A0CDB2801CCD}">
  <ds:schemaRefs>
    <ds:schemaRef ds:uri="http://schemas.openxmlformats.org/officeDocument/2006/bibliography"/>
  </ds:schemaRefs>
</ds:datastoreItem>
</file>

<file path=customXml/itemProps2.xml><?xml version="1.0" encoding="utf-8"?>
<ds:datastoreItem xmlns:ds="http://schemas.openxmlformats.org/officeDocument/2006/customXml" ds:itemID="{19265A37-CE32-4327-BB66-CCB75BC99FC0}"/>
</file>

<file path=customXml/itemProps3.xml><?xml version="1.0" encoding="utf-8"?>
<ds:datastoreItem xmlns:ds="http://schemas.openxmlformats.org/officeDocument/2006/customXml" ds:itemID="{1AFF522B-37F6-4401-BBFD-DB885C8FCCF2}"/>
</file>

<file path=customXml/itemProps4.xml><?xml version="1.0" encoding="utf-8"?>
<ds:datastoreItem xmlns:ds="http://schemas.openxmlformats.org/officeDocument/2006/customXml" ds:itemID="{A2113C2A-900F-418D-931B-5EF0781DDB56}"/>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3010</Characters>
  <Application>Microsoft Office Word</Application>
  <DocSecurity>0</DocSecurity>
  <Lines>25</Lines>
  <Paragraphs>7</Paragraphs>
  <ScaleCrop>false</ScaleCrop>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2026-06-15T08:44:00Z</dcterms:created>
  <dcterms:modified xsi:type="dcterms:W3CDTF">2026-06-15T08:44:00Z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