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57E1FE" w14:textId="71C291BD" w:rsidR="00492723" w:rsidRPr="00773A7C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before="240" w:after="200"/>
        <w:rPr>
          <w:b/>
          <w:bCs/>
          <w:color w:val="466318"/>
          <w:sz w:val="40"/>
          <w:szCs w:val="40"/>
        </w:rPr>
      </w:pPr>
      <w:r w:rsidRPr="00773A7C">
        <w:rPr>
          <w:b/>
          <w:bCs/>
          <w:color w:val="466318"/>
          <w:sz w:val="40"/>
          <w:szCs w:val="40"/>
        </w:rPr>
        <w:t xml:space="preserve">Introduction </w:t>
      </w:r>
      <w:r w:rsidR="00773A7C" w:rsidRPr="00773A7C">
        <w:rPr>
          <w:b/>
          <w:bCs/>
          <w:color w:val="466318"/>
          <w:sz w:val="40"/>
          <w:szCs w:val="40"/>
        </w:rPr>
        <w:t>w</w:t>
      </w:r>
      <w:r w:rsidRPr="00773A7C">
        <w:rPr>
          <w:b/>
          <w:bCs/>
          <w:color w:val="466318"/>
          <w:sz w:val="40"/>
          <w:szCs w:val="40"/>
        </w:rPr>
        <w:t>orksheet answers</w:t>
      </w:r>
    </w:p>
    <w:tbl>
      <w:tblPr>
        <w:tblStyle w:val="a"/>
        <w:tblW w:w="1402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60"/>
        <w:gridCol w:w="2408"/>
        <w:gridCol w:w="2408"/>
        <w:gridCol w:w="2408"/>
        <w:gridCol w:w="5241"/>
      </w:tblGrid>
      <w:tr w:rsidR="00492723" w:rsidRPr="00773A7C" w14:paraId="70F63CD6" w14:textId="77777777" w:rsidTr="00730F16">
        <w:tc>
          <w:tcPr>
            <w:tcW w:w="1560" w:type="dxa"/>
          </w:tcPr>
          <w:p w14:paraId="7885A250" w14:textId="77777777" w:rsidR="00492723" w:rsidRPr="00773A7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b/>
                <w:bCs/>
                <w:sz w:val="20"/>
                <w:szCs w:val="20"/>
              </w:rPr>
              <w:t>Physiological measurement</w:t>
            </w:r>
          </w:p>
        </w:tc>
        <w:tc>
          <w:tcPr>
            <w:tcW w:w="2408" w:type="dxa"/>
          </w:tcPr>
          <w:p w14:paraId="39B0DD7C" w14:textId="77777777" w:rsidR="00492723" w:rsidRPr="00773A7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b/>
                <w:bCs/>
                <w:sz w:val="20"/>
                <w:szCs w:val="20"/>
              </w:rPr>
              <w:t>Unit of measurement</w:t>
            </w:r>
          </w:p>
        </w:tc>
        <w:tc>
          <w:tcPr>
            <w:tcW w:w="2408" w:type="dxa"/>
          </w:tcPr>
          <w:p w14:paraId="512DB2A4" w14:textId="77777777" w:rsidR="00492723" w:rsidRPr="00773A7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b/>
                <w:bCs/>
                <w:sz w:val="20"/>
                <w:szCs w:val="20"/>
              </w:rPr>
              <w:t>How it is measured</w:t>
            </w:r>
          </w:p>
        </w:tc>
        <w:tc>
          <w:tcPr>
            <w:tcW w:w="2408" w:type="dxa"/>
          </w:tcPr>
          <w:p w14:paraId="612B1A30" w14:textId="77777777" w:rsidR="00492723" w:rsidRPr="00773A7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b/>
                <w:bCs/>
                <w:sz w:val="20"/>
                <w:szCs w:val="20"/>
              </w:rPr>
              <w:t>Normal values</w:t>
            </w:r>
          </w:p>
        </w:tc>
        <w:tc>
          <w:tcPr>
            <w:tcW w:w="5241" w:type="dxa"/>
          </w:tcPr>
          <w:p w14:paraId="4D9890C2" w14:textId="77777777" w:rsidR="00492723" w:rsidRPr="00773A7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b/>
                <w:bCs/>
                <w:sz w:val="20"/>
                <w:szCs w:val="20"/>
              </w:rPr>
              <w:t>What affects it</w:t>
            </w:r>
          </w:p>
        </w:tc>
      </w:tr>
      <w:tr w:rsidR="00492723" w:rsidRPr="00773A7C" w14:paraId="12141C6C" w14:textId="77777777" w:rsidTr="00730F16">
        <w:trPr>
          <w:trHeight w:val="955"/>
        </w:trPr>
        <w:tc>
          <w:tcPr>
            <w:tcW w:w="1560" w:type="dxa"/>
          </w:tcPr>
          <w:p w14:paraId="3188E032" w14:textId="77777777" w:rsidR="00492723" w:rsidRPr="00773A7C" w:rsidRDefault="00000000" w:rsidP="00730F16">
            <w:pPr>
              <w:pStyle w:val="Tableheading1"/>
            </w:pPr>
            <w:r w:rsidRPr="00773A7C">
              <w:t>Blood pressure</w:t>
            </w:r>
          </w:p>
        </w:tc>
        <w:tc>
          <w:tcPr>
            <w:tcW w:w="2408" w:type="dxa"/>
          </w:tcPr>
          <w:p w14:paraId="6B0D9AC7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mmHg (millimetres of mercury)</w:t>
            </w:r>
          </w:p>
        </w:tc>
        <w:tc>
          <w:tcPr>
            <w:tcW w:w="2408" w:type="dxa"/>
          </w:tcPr>
          <w:p w14:paraId="03F7C27A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Manual or digital sphygmomanometer</w:t>
            </w:r>
          </w:p>
        </w:tc>
        <w:tc>
          <w:tcPr>
            <w:tcW w:w="2408" w:type="dxa"/>
          </w:tcPr>
          <w:p w14:paraId="52EC714D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90/60 mmHg to 120/80 mmHg</w:t>
            </w:r>
          </w:p>
        </w:tc>
        <w:tc>
          <w:tcPr>
            <w:tcW w:w="5241" w:type="dxa"/>
          </w:tcPr>
          <w:p w14:paraId="53C36C8A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Activity, stress/anxiety, age, disease, medication and health status.</w:t>
            </w:r>
          </w:p>
          <w:p w14:paraId="0B27D49C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Persistent readings above or below normal ranges may indicate a cardiovascular disorder.</w:t>
            </w:r>
          </w:p>
        </w:tc>
      </w:tr>
      <w:tr w:rsidR="00492723" w:rsidRPr="00773A7C" w14:paraId="2CF32EE0" w14:textId="77777777" w:rsidTr="00730F16">
        <w:trPr>
          <w:trHeight w:val="983"/>
        </w:trPr>
        <w:tc>
          <w:tcPr>
            <w:tcW w:w="1560" w:type="dxa"/>
          </w:tcPr>
          <w:p w14:paraId="2893141B" w14:textId="77777777" w:rsidR="00492723" w:rsidRPr="00773A7C" w:rsidRDefault="00000000" w:rsidP="00730F16">
            <w:pPr>
              <w:pStyle w:val="Tableheading1"/>
            </w:pPr>
            <w:r w:rsidRPr="00773A7C">
              <w:t>Weight (mass)</w:t>
            </w:r>
          </w:p>
        </w:tc>
        <w:tc>
          <w:tcPr>
            <w:tcW w:w="2408" w:type="dxa"/>
          </w:tcPr>
          <w:p w14:paraId="2D77247B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kg (kilograms)</w:t>
            </w:r>
          </w:p>
        </w:tc>
        <w:tc>
          <w:tcPr>
            <w:tcW w:w="2408" w:type="dxa"/>
          </w:tcPr>
          <w:p w14:paraId="4EBF3FE6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Scales</w:t>
            </w:r>
          </w:p>
          <w:p w14:paraId="1A0343C2" w14:textId="77777777" w:rsidR="00492723" w:rsidRPr="00773A7C" w:rsidRDefault="00492723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0A4B1DDB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Sitting scales are used for people with mobility issues</w:t>
            </w:r>
          </w:p>
        </w:tc>
        <w:tc>
          <w:tcPr>
            <w:tcW w:w="2408" w:type="dxa"/>
          </w:tcPr>
          <w:p w14:paraId="7EC50CC2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N/A</w:t>
            </w:r>
          </w:p>
        </w:tc>
        <w:tc>
          <w:tcPr>
            <w:tcW w:w="5241" w:type="dxa"/>
          </w:tcPr>
          <w:p w14:paraId="68876323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N/A</w:t>
            </w:r>
          </w:p>
        </w:tc>
      </w:tr>
      <w:tr w:rsidR="00492723" w:rsidRPr="00773A7C" w14:paraId="444D260C" w14:textId="77777777" w:rsidTr="00730F16">
        <w:trPr>
          <w:trHeight w:val="855"/>
        </w:trPr>
        <w:tc>
          <w:tcPr>
            <w:tcW w:w="1560" w:type="dxa"/>
          </w:tcPr>
          <w:p w14:paraId="085A1634" w14:textId="77777777" w:rsidR="00492723" w:rsidRPr="00773A7C" w:rsidRDefault="00000000" w:rsidP="00730F16">
            <w:pPr>
              <w:pStyle w:val="Tableheading1"/>
            </w:pPr>
            <w:r w:rsidRPr="00773A7C">
              <w:t>Height</w:t>
            </w:r>
          </w:p>
        </w:tc>
        <w:tc>
          <w:tcPr>
            <w:tcW w:w="2408" w:type="dxa"/>
          </w:tcPr>
          <w:p w14:paraId="03127FAB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m or cm (metres or centimetres)</w:t>
            </w:r>
          </w:p>
        </w:tc>
        <w:tc>
          <w:tcPr>
            <w:tcW w:w="2408" w:type="dxa"/>
          </w:tcPr>
          <w:p w14:paraId="77B86E20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Tape measure or stadiometer</w:t>
            </w:r>
          </w:p>
        </w:tc>
        <w:tc>
          <w:tcPr>
            <w:tcW w:w="2408" w:type="dxa"/>
          </w:tcPr>
          <w:p w14:paraId="7965CBDE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N/A</w:t>
            </w:r>
          </w:p>
        </w:tc>
        <w:tc>
          <w:tcPr>
            <w:tcW w:w="5241" w:type="dxa"/>
          </w:tcPr>
          <w:p w14:paraId="514AF95C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N/A</w:t>
            </w:r>
          </w:p>
        </w:tc>
      </w:tr>
      <w:tr w:rsidR="00492723" w:rsidRPr="00773A7C" w14:paraId="15BE906A" w14:textId="77777777" w:rsidTr="00730F16">
        <w:trPr>
          <w:trHeight w:val="1250"/>
        </w:trPr>
        <w:tc>
          <w:tcPr>
            <w:tcW w:w="1560" w:type="dxa"/>
          </w:tcPr>
          <w:p w14:paraId="5EB97C37" w14:textId="77777777" w:rsidR="00492723" w:rsidRPr="00773A7C" w:rsidRDefault="00000000" w:rsidP="00730F16">
            <w:pPr>
              <w:pStyle w:val="Tableheading1"/>
            </w:pPr>
            <w:r w:rsidRPr="00773A7C">
              <w:t>Body mass index</w:t>
            </w:r>
          </w:p>
        </w:tc>
        <w:tc>
          <w:tcPr>
            <w:tcW w:w="2408" w:type="dxa"/>
          </w:tcPr>
          <w:p w14:paraId="0CDF2C5D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kg/m</w:t>
            </w:r>
            <w:r w:rsidRPr="00773A7C">
              <w:rPr>
                <w:rFonts w:ascii="Arial" w:eastAsia="Arial" w:hAnsi="Arial" w:cs="Arial"/>
                <w:sz w:val="20"/>
                <w:szCs w:val="20"/>
                <w:vertAlign w:val="superscript"/>
              </w:rPr>
              <w:t xml:space="preserve">2 </w:t>
            </w:r>
            <w:r w:rsidRPr="00773A7C">
              <w:rPr>
                <w:rFonts w:ascii="Arial" w:eastAsia="Arial" w:hAnsi="Arial" w:cs="Arial"/>
                <w:sz w:val="20"/>
                <w:szCs w:val="20"/>
              </w:rPr>
              <w:t>(kilograms per metre squared)</w:t>
            </w:r>
          </w:p>
          <w:p w14:paraId="68B5B237" w14:textId="77777777" w:rsidR="00492723" w:rsidRPr="00773A7C" w:rsidRDefault="00492723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08" w:type="dxa"/>
          </w:tcPr>
          <w:p w14:paraId="1D82DE4B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Calculated using the formula:</w:t>
            </w:r>
          </w:p>
          <w:p w14:paraId="4096B5D1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  <w:vertAlign w:val="superscript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BMI = weight / height</w:t>
            </w:r>
            <w:r w:rsidRPr="00773A7C">
              <w:rPr>
                <w:rFonts w:ascii="Arial" w:eastAsia="Arial" w:hAnsi="Arial" w:cs="Arial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408" w:type="dxa"/>
          </w:tcPr>
          <w:p w14:paraId="70C9F335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&lt;18.5 – underweight</w:t>
            </w:r>
          </w:p>
          <w:p w14:paraId="0E8421C2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18.5–24.9 – healthy weight</w:t>
            </w:r>
          </w:p>
          <w:p w14:paraId="7E0FB95C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25–29.9 – overweight</w:t>
            </w:r>
          </w:p>
          <w:p w14:paraId="3C46ECDE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sdt>
              <w:sdtPr>
                <w:tag w:val="goog_rdk_0"/>
                <w:id w:val="1053618820"/>
              </w:sdtPr>
              <w:sdtContent>
                <w:r w:rsidRPr="00773A7C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≥30 – obese</w:t>
                </w:r>
              </w:sdtContent>
            </w:sdt>
          </w:p>
        </w:tc>
        <w:tc>
          <w:tcPr>
            <w:tcW w:w="5241" w:type="dxa"/>
          </w:tcPr>
          <w:p w14:paraId="07F9D073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N/A</w:t>
            </w:r>
          </w:p>
        </w:tc>
      </w:tr>
      <w:tr w:rsidR="00492723" w:rsidRPr="00773A7C" w14:paraId="3116CDE8" w14:textId="77777777" w:rsidTr="00730F16">
        <w:trPr>
          <w:trHeight w:val="296"/>
        </w:trPr>
        <w:tc>
          <w:tcPr>
            <w:tcW w:w="1560" w:type="dxa"/>
          </w:tcPr>
          <w:p w14:paraId="4AB6F4AB" w14:textId="77777777" w:rsidR="00492723" w:rsidRPr="00773A7C" w:rsidRDefault="00000000" w:rsidP="00730F16">
            <w:pPr>
              <w:pStyle w:val="Tableheading1"/>
            </w:pPr>
            <w:r w:rsidRPr="00773A7C">
              <w:lastRenderedPageBreak/>
              <w:t>Body temperature</w:t>
            </w:r>
          </w:p>
        </w:tc>
        <w:tc>
          <w:tcPr>
            <w:tcW w:w="2408" w:type="dxa"/>
          </w:tcPr>
          <w:p w14:paraId="67D52CDE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°C (degrees Celsius)</w:t>
            </w:r>
          </w:p>
        </w:tc>
        <w:tc>
          <w:tcPr>
            <w:tcW w:w="2408" w:type="dxa"/>
          </w:tcPr>
          <w:p w14:paraId="78273E4D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Digital thermometer</w:t>
            </w:r>
          </w:p>
          <w:p w14:paraId="148E0144" w14:textId="77777777" w:rsidR="00492723" w:rsidRPr="00773A7C" w:rsidRDefault="00492723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D359C2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 xml:space="preserve">Armpit (axillary), mouth (oral), ear (tympanic) </w:t>
            </w:r>
          </w:p>
          <w:p w14:paraId="152728F8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Infrared forehead thermometers</w:t>
            </w:r>
          </w:p>
        </w:tc>
        <w:tc>
          <w:tcPr>
            <w:tcW w:w="2408" w:type="dxa"/>
          </w:tcPr>
          <w:p w14:paraId="1A5B5C22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Around 37°C (typically 36–37.5°C)</w:t>
            </w:r>
          </w:p>
        </w:tc>
        <w:tc>
          <w:tcPr>
            <w:tcW w:w="5241" w:type="dxa"/>
          </w:tcPr>
          <w:p w14:paraId="3DEA3402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High temperature (fever) is anything above 38°C, and may be caused by the body fighting infection, some medications or heat stroke.</w:t>
            </w:r>
          </w:p>
          <w:p w14:paraId="5CD9F848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Low body temperature (hypothermia) may indicate prolonged exposure to a cold temperature, shock or illness like diabetes or thyroid disease.</w:t>
            </w:r>
          </w:p>
        </w:tc>
      </w:tr>
      <w:tr w:rsidR="00492723" w:rsidRPr="00773A7C" w14:paraId="2886EA04" w14:textId="77777777" w:rsidTr="00730F16">
        <w:trPr>
          <w:trHeight w:val="1361"/>
        </w:trPr>
        <w:tc>
          <w:tcPr>
            <w:tcW w:w="1560" w:type="dxa"/>
          </w:tcPr>
          <w:p w14:paraId="52E5F866" w14:textId="77777777" w:rsidR="00492723" w:rsidRPr="00773A7C" w:rsidRDefault="00000000" w:rsidP="00730F16">
            <w:pPr>
              <w:pStyle w:val="Tableheading1"/>
            </w:pPr>
            <w:r w:rsidRPr="00773A7C">
              <w:t>Urinary output</w:t>
            </w:r>
          </w:p>
        </w:tc>
        <w:tc>
          <w:tcPr>
            <w:tcW w:w="2408" w:type="dxa"/>
          </w:tcPr>
          <w:p w14:paraId="5B7746F5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mL/day (millilitres per day)</w:t>
            </w:r>
          </w:p>
          <w:p w14:paraId="09EA000C" w14:textId="77777777" w:rsidR="00492723" w:rsidRPr="00773A7C" w:rsidRDefault="00492723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08" w:type="dxa"/>
          </w:tcPr>
          <w:p w14:paraId="71107412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A patient's urine is collected in a container that can measure volume</w:t>
            </w:r>
          </w:p>
          <w:p w14:paraId="1F41BAB8" w14:textId="77777777" w:rsidR="00492723" w:rsidRPr="00773A7C" w:rsidRDefault="00492723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08" w:type="dxa"/>
          </w:tcPr>
          <w:p w14:paraId="37A4F924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800–2000 mL per day</w:t>
            </w:r>
          </w:p>
          <w:p w14:paraId="4EF69AD1" w14:textId="77777777" w:rsidR="00492723" w:rsidRPr="00773A7C" w:rsidRDefault="00492723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241" w:type="dxa"/>
          </w:tcPr>
          <w:p w14:paraId="659E1B5D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Fluid intake, environmental conditions (e.g. heat), physical activity and illness.</w:t>
            </w:r>
          </w:p>
          <w:p w14:paraId="7D8CBE03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Low urinary output (oliguria) may indicate dehydration, kidney impairment or shock.</w:t>
            </w:r>
          </w:p>
          <w:p w14:paraId="1B626344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Very high output (polyuria) may indicate diabetes or fluid imbalance.</w:t>
            </w:r>
          </w:p>
        </w:tc>
      </w:tr>
      <w:tr w:rsidR="00492723" w:rsidRPr="00773A7C" w14:paraId="5194D044" w14:textId="77777777" w:rsidTr="00730F16">
        <w:trPr>
          <w:trHeight w:val="1361"/>
        </w:trPr>
        <w:tc>
          <w:tcPr>
            <w:tcW w:w="1560" w:type="dxa"/>
          </w:tcPr>
          <w:p w14:paraId="5ACC6BC6" w14:textId="77777777" w:rsidR="00492723" w:rsidRPr="00773A7C" w:rsidRDefault="00000000" w:rsidP="00730F16">
            <w:pPr>
              <w:pStyle w:val="Tableheading1"/>
            </w:pPr>
            <w:r w:rsidRPr="00773A7C">
              <w:t>Respiration rate</w:t>
            </w:r>
          </w:p>
        </w:tc>
        <w:tc>
          <w:tcPr>
            <w:tcW w:w="2408" w:type="dxa"/>
          </w:tcPr>
          <w:p w14:paraId="6F4F8057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breaths per minute</w:t>
            </w:r>
          </w:p>
        </w:tc>
        <w:tc>
          <w:tcPr>
            <w:tcW w:w="2408" w:type="dxa"/>
          </w:tcPr>
          <w:p w14:paraId="57FB7BA5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Visually counting number of chest rises and falls (one breath) in 60 seconds</w:t>
            </w:r>
          </w:p>
          <w:p w14:paraId="65C35450" w14:textId="77777777" w:rsidR="00492723" w:rsidRPr="00773A7C" w:rsidRDefault="00492723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08" w:type="dxa"/>
          </w:tcPr>
          <w:p w14:paraId="11866612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12–20 breaths per minute</w:t>
            </w:r>
          </w:p>
        </w:tc>
        <w:tc>
          <w:tcPr>
            <w:tcW w:w="5241" w:type="dxa"/>
          </w:tcPr>
          <w:p w14:paraId="6C066E51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Activity, stress, pain, environmental conditions and health status</w:t>
            </w:r>
          </w:p>
          <w:p w14:paraId="4DC318F4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High respiration rate (tachypnoea) may indicate infection, fever, anxiety or respiratory distress.</w:t>
            </w:r>
          </w:p>
          <w:p w14:paraId="50A12853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Low respiration rate (</w:t>
            </w:r>
            <w:proofErr w:type="spellStart"/>
            <w:r w:rsidRPr="00773A7C">
              <w:rPr>
                <w:rFonts w:ascii="Arial" w:eastAsia="Arial" w:hAnsi="Arial" w:cs="Arial"/>
                <w:sz w:val="20"/>
                <w:szCs w:val="20"/>
              </w:rPr>
              <w:t>bradypnoea</w:t>
            </w:r>
            <w:proofErr w:type="spellEnd"/>
            <w:r w:rsidRPr="00773A7C">
              <w:rPr>
                <w:rFonts w:ascii="Arial" w:eastAsia="Arial" w:hAnsi="Arial" w:cs="Arial"/>
                <w:sz w:val="20"/>
                <w:szCs w:val="20"/>
              </w:rPr>
              <w:t>) may indicate drug effects, neurological issues or respiratory depression.</w:t>
            </w:r>
          </w:p>
        </w:tc>
      </w:tr>
      <w:tr w:rsidR="00492723" w:rsidRPr="00773A7C" w14:paraId="6767572F" w14:textId="77777777" w:rsidTr="00730F16">
        <w:trPr>
          <w:trHeight w:val="1361"/>
        </w:trPr>
        <w:tc>
          <w:tcPr>
            <w:tcW w:w="1560" w:type="dxa"/>
          </w:tcPr>
          <w:p w14:paraId="5506B1EB" w14:textId="77777777" w:rsidR="00492723" w:rsidRPr="00773A7C" w:rsidRDefault="00000000" w:rsidP="00730F16">
            <w:pPr>
              <w:pStyle w:val="Tableheading1"/>
            </w:pPr>
            <w:r w:rsidRPr="00773A7C">
              <w:t>Oxygen saturation (SpO</w:t>
            </w:r>
            <w:r w:rsidRPr="00773A7C">
              <w:rPr>
                <w:vertAlign w:val="subscript"/>
              </w:rPr>
              <w:t>2</w:t>
            </w:r>
            <w:r w:rsidRPr="00773A7C">
              <w:t>)</w:t>
            </w:r>
          </w:p>
        </w:tc>
        <w:tc>
          <w:tcPr>
            <w:tcW w:w="2408" w:type="dxa"/>
          </w:tcPr>
          <w:p w14:paraId="7CE46FD1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% (of haemoglobin in the blood carrying oxygen)</w:t>
            </w:r>
          </w:p>
        </w:tc>
        <w:tc>
          <w:tcPr>
            <w:tcW w:w="2408" w:type="dxa"/>
          </w:tcPr>
          <w:p w14:paraId="62A290E5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Pulse oximeter placed on the finger closest to the thumb or middle finger’ other places include an earlobe or toe</w:t>
            </w:r>
          </w:p>
        </w:tc>
        <w:tc>
          <w:tcPr>
            <w:tcW w:w="2408" w:type="dxa"/>
          </w:tcPr>
          <w:p w14:paraId="119D97A8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95–100%</w:t>
            </w:r>
          </w:p>
          <w:p w14:paraId="65CFC22C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COPD/chronic lung disease patients may have a lower target range (e.g., 88–92%).</w:t>
            </w:r>
          </w:p>
        </w:tc>
        <w:tc>
          <w:tcPr>
            <w:tcW w:w="5241" w:type="dxa"/>
          </w:tcPr>
          <w:p w14:paraId="6E591063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Activity, altitude, illness or poor circulation</w:t>
            </w:r>
          </w:p>
          <w:p w14:paraId="69D69036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Low oxygen saturation (hypoxaemia) may occur in chronic obstructive pulmonary disease (COPD), pneumonia, asthma attack, heart failure, COVID-19 or other respiratory infections.</w:t>
            </w:r>
          </w:p>
        </w:tc>
      </w:tr>
      <w:tr w:rsidR="00492723" w:rsidRPr="00773A7C" w14:paraId="6419F127" w14:textId="77777777" w:rsidTr="00730F16">
        <w:trPr>
          <w:trHeight w:val="579"/>
        </w:trPr>
        <w:tc>
          <w:tcPr>
            <w:tcW w:w="1560" w:type="dxa"/>
          </w:tcPr>
          <w:p w14:paraId="028891AD" w14:textId="77777777" w:rsidR="00492723" w:rsidRPr="00773A7C" w:rsidRDefault="00000000" w:rsidP="00730F16">
            <w:pPr>
              <w:pStyle w:val="Tableheading1"/>
            </w:pPr>
            <w:r w:rsidRPr="00773A7C">
              <w:lastRenderedPageBreak/>
              <w:t>Heart rate</w:t>
            </w:r>
          </w:p>
        </w:tc>
        <w:tc>
          <w:tcPr>
            <w:tcW w:w="2408" w:type="dxa"/>
          </w:tcPr>
          <w:p w14:paraId="4C494707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BPM (beats per minute)</w:t>
            </w:r>
          </w:p>
        </w:tc>
        <w:tc>
          <w:tcPr>
            <w:tcW w:w="2408" w:type="dxa"/>
          </w:tcPr>
          <w:p w14:paraId="3236C5B1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Counting pulse beats in the wrist for one minute; a pulse oximeter or electrocardiogram (ECG)</w:t>
            </w:r>
          </w:p>
        </w:tc>
        <w:tc>
          <w:tcPr>
            <w:tcW w:w="2408" w:type="dxa"/>
          </w:tcPr>
          <w:p w14:paraId="7A4AE23A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60–100 beats per minute</w:t>
            </w:r>
          </w:p>
          <w:p w14:paraId="25D5BD7D" w14:textId="77777777" w:rsidR="00492723" w:rsidRPr="00773A7C" w:rsidRDefault="00492723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241" w:type="dxa"/>
          </w:tcPr>
          <w:p w14:paraId="13D325FA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Activity, stress, medications, illness and environmental conditions</w:t>
            </w:r>
          </w:p>
          <w:p w14:paraId="266498D3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High heart rate (tachycardia): fever or infection, anxiety or stress, heart conditions (e.g., arrhythmia, heart failure), hyperthyroidism</w:t>
            </w:r>
          </w:p>
          <w:p w14:paraId="7C47A88C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Low heart rate (bradycardia): athletic individuals, heart conduction problems, certain drugs (e.g. beta-blockers)</w:t>
            </w:r>
          </w:p>
        </w:tc>
      </w:tr>
      <w:tr w:rsidR="00492723" w:rsidRPr="00773A7C" w14:paraId="16D1A7CF" w14:textId="77777777" w:rsidTr="00730F16">
        <w:trPr>
          <w:trHeight w:val="1395"/>
        </w:trPr>
        <w:tc>
          <w:tcPr>
            <w:tcW w:w="1560" w:type="dxa"/>
          </w:tcPr>
          <w:p w14:paraId="52454D64" w14:textId="77777777" w:rsidR="00492723" w:rsidRPr="00773A7C" w:rsidRDefault="00000000" w:rsidP="00730F16">
            <w:pPr>
              <w:pStyle w:val="Tableheading1"/>
            </w:pPr>
            <w:r w:rsidRPr="00773A7C">
              <w:t>Blood sugar levels</w:t>
            </w:r>
          </w:p>
        </w:tc>
        <w:tc>
          <w:tcPr>
            <w:tcW w:w="2408" w:type="dxa"/>
          </w:tcPr>
          <w:p w14:paraId="47B6E891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mmol/L (millimoles per litre)</w:t>
            </w:r>
          </w:p>
          <w:p w14:paraId="4F04EA73" w14:textId="77777777" w:rsidR="00492723" w:rsidRPr="00773A7C" w:rsidRDefault="00492723" w:rsidP="00730F16">
            <w:pP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08" w:type="dxa"/>
          </w:tcPr>
          <w:p w14:paraId="0AA32D93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Finger prick, drop of blood inserted into a portable glucometer.</w:t>
            </w:r>
          </w:p>
        </w:tc>
        <w:tc>
          <w:tcPr>
            <w:tcW w:w="2408" w:type="dxa"/>
          </w:tcPr>
          <w:p w14:paraId="3118142E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For most healthy adults, fasting blood glucose is approximately 4.0-5.4/5.9 mmol/L; for people with diabetes, common pre-meal targets are 4.0-7.0 mmol/L, but individual targets may vary.</w:t>
            </w:r>
          </w:p>
        </w:tc>
        <w:tc>
          <w:tcPr>
            <w:tcW w:w="5241" w:type="dxa"/>
          </w:tcPr>
          <w:p w14:paraId="03CAEFE6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High blood glucose (hyperglycaemia) may occur with diabetes, stress or infection, after a high-sugar meal</w:t>
            </w:r>
          </w:p>
          <w:p w14:paraId="1B61ED19" w14:textId="77777777" w:rsidR="00492723" w:rsidRPr="00773A7C" w:rsidRDefault="00000000" w:rsidP="00730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 w:rsidRPr="00773A7C">
              <w:rPr>
                <w:rFonts w:ascii="Arial" w:eastAsia="Arial" w:hAnsi="Arial" w:cs="Arial"/>
                <w:sz w:val="20"/>
                <w:szCs w:val="20"/>
              </w:rPr>
              <w:t>Low blood glucose (hypoglycaemia) may occur with: excess insulin or diabetes medication, prolonged fasting, strenuous exercise</w:t>
            </w:r>
          </w:p>
        </w:tc>
      </w:tr>
    </w:tbl>
    <w:p w14:paraId="041F6DDF" w14:textId="77777777" w:rsidR="00492723" w:rsidRDefault="00492723">
      <w:pPr>
        <w:tabs>
          <w:tab w:val="left" w:pos="2429"/>
        </w:tabs>
      </w:pPr>
    </w:p>
    <w:sectPr w:rsidR="00492723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247" w:right="1440" w:bottom="2127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FC5829" w14:textId="77777777" w:rsidR="00BE5C02" w:rsidRPr="00773A7C" w:rsidRDefault="00BE5C02">
      <w:pPr>
        <w:spacing w:after="0" w:line="240" w:lineRule="auto"/>
      </w:pPr>
      <w:r w:rsidRPr="00773A7C">
        <w:separator/>
      </w:r>
    </w:p>
  </w:endnote>
  <w:endnote w:type="continuationSeparator" w:id="0">
    <w:p w14:paraId="3C9B4401" w14:textId="77777777" w:rsidR="00BE5C02" w:rsidRPr="00773A7C" w:rsidRDefault="00BE5C02">
      <w:pPr>
        <w:spacing w:after="0" w:line="240" w:lineRule="auto"/>
      </w:pPr>
      <w:r w:rsidRPr="00773A7C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FB6980E-2852-4053-96E2-31E8A7BC95B1}"/>
    <w:embedBold r:id="rId2" w:fontKey="{593C6FB9-7996-49BF-9C24-FE1843A36AC1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3" w:subsetted="1" w:fontKey="{84BBC242-1BE6-462A-85C9-DE8091043CA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EFFB1FEC-9A2B-4B33-8648-92A7944DDDD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DD52D0B-6820-4058-8C5A-4E17AC4F0E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1FAEF" w14:textId="77777777" w:rsidR="00492723" w:rsidRPr="00773A7C" w:rsidRDefault="0049272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2"/>
      <w:tblW w:w="13958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0064"/>
      <w:gridCol w:w="3894"/>
    </w:tblGrid>
    <w:tr w:rsidR="00492723" w:rsidRPr="00773A7C" w14:paraId="6DC172C5" w14:textId="77777777">
      <w:tc>
        <w:tcPr>
          <w:tcW w:w="10064" w:type="dxa"/>
        </w:tcPr>
        <w:p w14:paraId="20445F98" w14:textId="77777777" w:rsidR="00492723" w:rsidRPr="00773A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 w:rsidRPr="00773A7C">
            <w:rPr>
              <w:sz w:val="20"/>
              <w:szCs w:val="20"/>
            </w:rPr>
            <w:t>[Subject]: [Topic title]</w:t>
          </w:r>
        </w:p>
      </w:tc>
      <w:tc>
        <w:tcPr>
          <w:tcW w:w="3894" w:type="dxa"/>
        </w:tcPr>
        <w:p w14:paraId="7A14099B" w14:textId="77777777" w:rsidR="00492723" w:rsidRPr="00773A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773A7C">
            <w:rPr>
              <w:sz w:val="18"/>
              <w:szCs w:val="18"/>
            </w:rPr>
            <w:t>© Gatsby Technical Education Projects 2023</w:t>
          </w:r>
        </w:p>
      </w:tc>
    </w:tr>
  </w:tbl>
  <w:p w14:paraId="315CEC53" w14:textId="77777777" w:rsidR="00492723" w:rsidRPr="00773A7C" w:rsidRDefault="0049272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54E2F043" w14:textId="77777777" w:rsidR="00492723" w:rsidRPr="00773A7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 w:rsidRPr="00773A7C">
      <w:rPr>
        <w:color w:val="808080"/>
        <w:sz w:val="20"/>
        <w:szCs w:val="20"/>
      </w:rPr>
      <w:fldChar w:fldCharType="begin"/>
    </w:r>
    <w:r w:rsidRPr="00773A7C">
      <w:rPr>
        <w:color w:val="808080"/>
        <w:sz w:val="20"/>
        <w:szCs w:val="20"/>
      </w:rPr>
      <w:instrText>PAGE</w:instrText>
    </w:r>
    <w:r w:rsidRPr="00773A7C">
      <w:rPr>
        <w:color w:val="808080"/>
        <w:sz w:val="20"/>
        <w:szCs w:val="20"/>
      </w:rPr>
      <w:fldChar w:fldCharType="separate"/>
    </w:r>
    <w:r w:rsidRPr="00773A7C"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3ED304" w14:textId="77777777" w:rsidR="00492723" w:rsidRPr="00773A7C" w:rsidRDefault="0049272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3"/>
      <w:tblW w:w="13958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8121"/>
      <w:gridCol w:w="5837"/>
    </w:tblGrid>
    <w:tr w:rsidR="00492723" w:rsidRPr="00773A7C" w14:paraId="51A16C0E" w14:textId="77777777">
      <w:tc>
        <w:tcPr>
          <w:tcW w:w="13958" w:type="dxa"/>
          <w:gridSpan w:val="2"/>
          <w:tcBorders>
            <w:bottom w:val="nil"/>
          </w:tcBorders>
        </w:tcPr>
        <w:p w14:paraId="7731EEC1" w14:textId="77777777" w:rsidR="00492723" w:rsidRPr="00773A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773A7C">
            <w:rPr>
              <w:sz w:val="20"/>
              <w:szCs w:val="20"/>
            </w:rPr>
            <w:t>Health and Science: Physiological measurements (Health)</w:t>
          </w:r>
        </w:p>
      </w:tc>
    </w:tr>
    <w:tr w:rsidR="00492723" w:rsidRPr="00773A7C" w14:paraId="72ED936E" w14:textId="77777777">
      <w:tc>
        <w:tcPr>
          <w:tcW w:w="8121" w:type="dxa"/>
          <w:tcBorders>
            <w:top w:val="nil"/>
            <w:bottom w:val="single" w:sz="12" w:space="0" w:color="E2EEBE"/>
          </w:tcBorders>
        </w:tcPr>
        <w:p w14:paraId="38BB3E5C" w14:textId="77777777" w:rsidR="00492723" w:rsidRPr="00773A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 w:rsidRPr="00773A7C">
            <w:rPr>
              <w:sz w:val="20"/>
              <w:szCs w:val="20"/>
            </w:rPr>
            <w:t>Version 1, June 2026</w:t>
          </w:r>
        </w:p>
      </w:tc>
      <w:tc>
        <w:tcPr>
          <w:tcW w:w="5837" w:type="dxa"/>
          <w:tcBorders>
            <w:top w:val="nil"/>
            <w:bottom w:val="single" w:sz="12" w:space="0" w:color="E2EEBE"/>
          </w:tcBorders>
          <w:vAlign w:val="bottom"/>
        </w:tcPr>
        <w:p w14:paraId="02543122" w14:textId="77777777" w:rsidR="00492723" w:rsidRPr="00773A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773A7C">
            <w:rPr>
              <w:sz w:val="18"/>
              <w:szCs w:val="18"/>
            </w:rPr>
            <w:t>© Gatsby Technical Education Projects 2026</w:t>
          </w:r>
        </w:p>
      </w:tc>
    </w:tr>
  </w:tbl>
  <w:p w14:paraId="1F3DD801" w14:textId="77777777" w:rsidR="00492723" w:rsidRPr="00773A7C" w:rsidRDefault="0049272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22945E21" w14:textId="77777777" w:rsidR="00492723" w:rsidRPr="00773A7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 w:rsidRPr="00773A7C">
      <w:rPr>
        <w:color w:val="808080"/>
        <w:sz w:val="20"/>
        <w:szCs w:val="20"/>
      </w:rPr>
      <w:fldChar w:fldCharType="begin"/>
    </w:r>
    <w:r w:rsidRPr="00773A7C">
      <w:rPr>
        <w:color w:val="808080"/>
        <w:sz w:val="20"/>
        <w:szCs w:val="20"/>
      </w:rPr>
      <w:instrText>PAGE</w:instrText>
    </w:r>
    <w:r w:rsidRPr="00773A7C">
      <w:rPr>
        <w:color w:val="808080"/>
        <w:sz w:val="20"/>
        <w:szCs w:val="20"/>
      </w:rPr>
      <w:fldChar w:fldCharType="separate"/>
    </w:r>
    <w:r w:rsidR="00730F16" w:rsidRPr="00773A7C">
      <w:rPr>
        <w:color w:val="808080"/>
        <w:sz w:val="20"/>
        <w:szCs w:val="20"/>
      </w:rPr>
      <w:t>1</w:t>
    </w:r>
    <w:r w:rsidRPr="00773A7C"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C298BE" w14:textId="77777777" w:rsidR="00492723" w:rsidRPr="00773A7C" w:rsidRDefault="0049272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A3CBA8" w14:textId="77777777" w:rsidR="00BE5C02" w:rsidRPr="00773A7C" w:rsidRDefault="00BE5C02">
      <w:pPr>
        <w:spacing w:after="0" w:line="240" w:lineRule="auto"/>
      </w:pPr>
      <w:r w:rsidRPr="00773A7C">
        <w:separator/>
      </w:r>
    </w:p>
  </w:footnote>
  <w:footnote w:type="continuationSeparator" w:id="0">
    <w:p w14:paraId="624C3DD5" w14:textId="77777777" w:rsidR="00BE5C02" w:rsidRPr="00773A7C" w:rsidRDefault="00BE5C02">
      <w:pPr>
        <w:spacing w:after="0" w:line="240" w:lineRule="auto"/>
      </w:pPr>
      <w:r w:rsidRPr="00773A7C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85EF89" w14:textId="77777777" w:rsidR="00492723" w:rsidRPr="00773A7C" w:rsidRDefault="0049272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0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650"/>
      <w:gridCol w:w="7376"/>
    </w:tblGrid>
    <w:tr w:rsidR="00492723" w:rsidRPr="00773A7C" w14:paraId="42579C7D" w14:textId="77777777">
      <w:tc>
        <w:tcPr>
          <w:tcW w:w="1650" w:type="dxa"/>
          <w:tcBorders>
            <w:bottom w:val="single" w:sz="4" w:space="0" w:color="E2EEBE"/>
          </w:tcBorders>
        </w:tcPr>
        <w:p w14:paraId="034335A9" w14:textId="77777777" w:rsidR="00492723" w:rsidRPr="00773A7C" w:rsidRDefault="004927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376" w:type="dxa"/>
          <w:tcBorders>
            <w:bottom w:val="single" w:sz="4" w:space="0" w:color="E2EEBE"/>
          </w:tcBorders>
        </w:tcPr>
        <w:p w14:paraId="446E5489" w14:textId="77777777" w:rsidR="00492723" w:rsidRPr="00773A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773A7C">
            <w:rPr>
              <w:sz w:val="20"/>
              <w:szCs w:val="20"/>
            </w:rPr>
            <w:t>Lesson X: [Insert lesson title]</w:t>
          </w:r>
        </w:p>
        <w:p w14:paraId="57ADD1D4" w14:textId="77777777" w:rsidR="00492723" w:rsidRPr="00773A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773A7C">
            <w:rPr>
              <w:sz w:val="20"/>
              <w:szCs w:val="20"/>
            </w:rPr>
            <w:t>Activity X</w:t>
          </w:r>
        </w:p>
      </w:tc>
    </w:tr>
  </w:tbl>
  <w:p w14:paraId="361B4585" w14:textId="77777777" w:rsidR="00492723" w:rsidRPr="00773A7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 w:rsidRPr="00773A7C">
      <w:drawing>
        <wp:anchor distT="0" distB="0" distL="114300" distR="114300" simplePos="0" relativeHeight="251659264" behindDoc="0" locked="0" layoutInCell="1" hidden="0" allowOverlap="1" wp14:anchorId="65E7046E" wp14:editId="6AA1DB7B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D49BE4" w14:textId="77777777" w:rsidR="00492723" w:rsidRPr="00773A7C" w:rsidRDefault="0049272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1"/>
      <w:tblW w:w="13958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512"/>
      <w:gridCol w:w="10446"/>
    </w:tblGrid>
    <w:tr w:rsidR="00492723" w:rsidRPr="00773A7C" w14:paraId="55A59A30" w14:textId="77777777">
      <w:tc>
        <w:tcPr>
          <w:tcW w:w="3512" w:type="dxa"/>
          <w:tcBorders>
            <w:bottom w:val="single" w:sz="4" w:space="0" w:color="E2EEBE"/>
          </w:tcBorders>
        </w:tcPr>
        <w:p w14:paraId="336D5D69" w14:textId="77777777" w:rsidR="00492723" w:rsidRPr="00773A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 w:rsidRPr="00773A7C">
            <w:drawing>
              <wp:anchor distT="0" distB="0" distL="114300" distR="114300" simplePos="0" relativeHeight="251658240" behindDoc="0" locked="0" layoutInCell="1" hidden="0" allowOverlap="1" wp14:anchorId="5E6DF09F" wp14:editId="3AB4F607">
                <wp:simplePos x="0" y="0"/>
                <wp:positionH relativeFrom="column">
                  <wp:posOffset>-72407</wp:posOffset>
                </wp:positionH>
                <wp:positionV relativeFrom="paragraph">
                  <wp:posOffset>-140333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10446" w:type="dxa"/>
          <w:tcBorders>
            <w:bottom w:val="single" w:sz="4" w:space="0" w:color="E2EEBE"/>
          </w:tcBorders>
        </w:tcPr>
        <w:p w14:paraId="05A5480F" w14:textId="179FE7EA" w:rsidR="00492723" w:rsidRPr="00773A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773A7C">
            <w:rPr>
              <w:sz w:val="20"/>
              <w:szCs w:val="20"/>
            </w:rPr>
            <w:t xml:space="preserve">Introductory lesson: Physiological measurements </w:t>
          </w:r>
        </w:p>
        <w:p w14:paraId="30CA22CB" w14:textId="41AC0D58" w:rsidR="00492723" w:rsidRPr="00773A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773A7C">
            <w:rPr>
              <w:sz w:val="20"/>
              <w:szCs w:val="20"/>
            </w:rPr>
            <w:t xml:space="preserve">Introduction </w:t>
          </w:r>
          <w:r w:rsidR="00773A7C" w:rsidRPr="00773A7C">
            <w:rPr>
              <w:sz w:val="20"/>
              <w:szCs w:val="20"/>
            </w:rPr>
            <w:t>w</w:t>
          </w:r>
          <w:r w:rsidRPr="00773A7C">
            <w:rPr>
              <w:sz w:val="20"/>
              <w:szCs w:val="20"/>
            </w:rPr>
            <w:t>orksheet answers</w:t>
          </w:r>
        </w:p>
      </w:tc>
    </w:tr>
  </w:tbl>
  <w:p w14:paraId="4D19187A" w14:textId="77777777" w:rsidR="00492723" w:rsidRPr="00773A7C" w:rsidRDefault="0049272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395FC0" w14:textId="77777777" w:rsidR="00492723" w:rsidRPr="00773A7C" w:rsidRDefault="0049272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2723"/>
    <w:rsid w:val="00107586"/>
    <w:rsid w:val="0014708C"/>
    <w:rsid w:val="00430B7A"/>
    <w:rsid w:val="00492723"/>
    <w:rsid w:val="004C620D"/>
    <w:rsid w:val="00730F16"/>
    <w:rsid w:val="00773A7C"/>
    <w:rsid w:val="009E21CE"/>
    <w:rsid w:val="00AF655D"/>
    <w:rsid w:val="00BE5C02"/>
    <w:rsid w:val="00DA46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B02152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GB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">
    <w:basedOn w:val="TableNormal0"/>
    <w:pPr>
      <w:spacing w:after="0" w:line="240" w:lineRule="auto"/>
    </w:pPr>
    <w:rPr>
      <w:rFonts w:ascii="Aptos" w:eastAsia="Aptos" w:hAnsi="Aptos" w:cs="Aptos"/>
      <w:color w:val="00000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1">
    <w:name w:val="Table heading 1"/>
    <w:basedOn w:val="Normal"/>
    <w:qFormat/>
    <w:rsid w:val="00730F16"/>
    <w:pPr>
      <w:pBdr>
        <w:top w:val="nil"/>
        <w:left w:val="nil"/>
        <w:bottom w:val="nil"/>
        <w:right w:val="nil"/>
        <w:between w:val="nil"/>
      </w:pBdr>
      <w:spacing w:before="80" w:after="80"/>
    </w:pPr>
    <w:rPr>
      <w:b/>
      <w:bCs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xEq2dGT6nEPtZDQfvTBWYizSsA==">CgMxLjAaJAoBMBIfCh0IB0IZCgVBcmlhbBIQQXJpYWwgVW5pY29kZSBNUzgAciExWTI3MmVReWgwSUdZemtUQXB4TEZKLWk3aUhCN2VfVko=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524</Words>
  <Characters>2989</Characters>
  <Application>Microsoft Office Word</Application>
  <DocSecurity>0</DocSecurity>
  <Lines>24</Lines>
  <Paragraphs>7</Paragraphs>
  <ScaleCrop>false</ScaleCrop>
  <Company/>
  <LinksUpToDate>false</LinksUpToDate>
  <CharactersWithSpaces>3506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2026-06-09T20:51:00Z</dcterms:created>
  <dcterms:modified xsi:type="dcterms:W3CDTF">2026-06-09T20:51:00Z</dcterms:modified>
</cp:coreProperties>
</file>