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97FBF" w14:textId="564BD5C8" w:rsidR="00C740D2" w:rsidRDefault="00000000">
      <w:pPr>
        <w:keepNext/>
        <w:keepLines/>
        <w:pBdr>
          <w:top w:val="nil"/>
          <w:left w:val="nil"/>
          <w:bottom w:val="nil"/>
          <w:right w:val="nil"/>
          <w:between w:val="nil"/>
        </w:pBdr>
        <w:shd w:val="clear" w:color="auto" w:fill="E2EEBE"/>
        <w:spacing w:after="200"/>
        <w:rPr>
          <w:b/>
          <w:bCs/>
          <w:color w:val="466318"/>
          <w:sz w:val="40"/>
          <w:szCs w:val="40"/>
        </w:rPr>
      </w:pPr>
      <w:r>
        <w:rPr>
          <w:b/>
          <w:bCs/>
          <w:color w:val="466318"/>
          <w:sz w:val="40"/>
          <w:szCs w:val="40"/>
        </w:rPr>
        <w:t>Glossary</w:t>
      </w:r>
    </w:p>
    <w:p w14:paraId="6C2AD431" w14:textId="77777777" w:rsidR="00D85F13" w:rsidRDefault="00D85F13" w:rsidP="00D85F13">
      <w:r>
        <w:t>It’s important to use correct technical terminology for clear communication. Use this glossary to help you learn and remember key terms and their definitions. Complete any missing definitions and add any other terms that you may have come across during your course or placement.</w:t>
      </w:r>
    </w:p>
    <w:tbl>
      <w:tblPr>
        <w:tblStyle w:val="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6186"/>
      </w:tblGrid>
      <w:tr w:rsidR="00C740D2" w14:paraId="1663FA7A" w14:textId="77777777">
        <w:tc>
          <w:tcPr>
            <w:tcW w:w="2830" w:type="dxa"/>
          </w:tcPr>
          <w:p w14:paraId="41969555" w14:textId="77777777" w:rsidR="00C740D2" w:rsidRDefault="00000000">
            <w:pPr>
              <w:rPr>
                <w:b/>
                <w:bCs/>
              </w:rPr>
            </w:pPr>
            <w:r>
              <w:rPr>
                <w:b/>
                <w:bCs/>
              </w:rPr>
              <w:t>Term</w:t>
            </w:r>
          </w:p>
        </w:tc>
        <w:tc>
          <w:tcPr>
            <w:tcW w:w="6186" w:type="dxa"/>
          </w:tcPr>
          <w:p w14:paraId="48EBBAA4" w14:textId="77777777" w:rsidR="00C740D2" w:rsidRDefault="00000000">
            <w:pPr>
              <w:rPr>
                <w:b/>
                <w:bCs/>
              </w:rPr>
            </w:pPr>
            <w:r>
              <w:rPr>
                <w:b/>
                <w:bCs/>
              </w:rPr>
              <w:t>Definition</w:t>
            </w:r>
          </w:p>
        </w:tc>
      </w:tr>
      <w:tr w:rsidR="00C740D2" w14:paraId="1531234F" w14:textId="77777777">
        <w:tc>
          <w:tcPr>
            <w:tcW w:w="2830" w:type="dxa"/>
          </w:tcPr>
          <w:p w14:paraId="148CC615" w14:textId="77777777" w:rsidR="00C740D2" w:rsidRDefault="00000000">
            <w:r>
              <w:t>Blood pressure</w:t>
            </w:r>
          </w:p>
        </w:tc>
        <w:tc>
          <w:tcPr>
            <w:tcW w:w="6186" w:type="dxa"/>
          </w:tcPr>
          <w:p w14:paraId="7797CA19" w14:textId="77777777" w:rsidR="00C740D2" w:rsidRDefault="00000000">
            <w:r>
              <w:t>The force exerted by circulating blood on the walls of blood vessels, measured in millimetres of mercury (mmHg) using a sphygmomanometer. Normal adult range is approximately 90/60 mmHg to 120/80 mmHg.</w:t>
            </w:r>
          </w:p>
        </w:tc>
      </w:tr>
      <w:tr w:rsidR="00C740D2" w14:paraId="565B5F80" w14:textId="77777777">
        <w:tc>
          <w:tcPr>
            <w:tcW w:w="2830" w:type="dxa"/>
          </w:tcPr>
          <w:p w14:paraId="19245BB4" w14:textId="77777777" w:rsidR="00C740D2" w:rsidRDefault="00000000">
            <w:r>
              <w:t>Body Mass Index (BMI)</w:t>
            </w:r>
          </w:p>
        </w:tc>
        <w:tc>
          <w:tcPr>
            <w:tcW w:w="6186" w:type="dxa"/>
          </w:tcPr>
          <w:p w14:paraId="22DEBF3E" w14:textId="77777777" w:rsidR="00C740D2" w:rsidRDefault="00000000">
            <w:r>
              <w:t>A calculation used to assess body weight relative to height, using the formula weight ÷ height² (kg/m²). It categorises individuals as underweight, healthy weight, overweight, or obese.</w:t>
            </w:r>
          </w:p>
        </w:tc>
      </w:tr>
      <w:tr w:rsidR="00C740D2" w14:paraId="1AC7DC8C" w14:textId="77777777">
        <w:tc>
          <w:tcPr>
            <w:tcW w:w="2830" w:type="dxa"/>
          </w:tcPr>
          <w:p w14:paraId="0A6B9143" w14:textId="77777777" w:rsidR="00C740D2" w:rsidRDefault="00000000">
            <w:r>
              <w:t>Body temperature</w:t>
            </w:r>
          </w:p>
        </w:tc>
        <w:tc>
          <w:tcPr>
            <w:tcW w:w="6186" w:type="dxa"/>
          </w:tcPr>
          <w:p w14:paraId="5BB0700F" w14:textId="77777777" w:rsidR="00C740D2" w:rsidRDefault="00000000">
            <w:r>
              <w:t>A measure of the body's ability to generate and eliminate heat, maintaining a balance between heat production and loss, typically around 37°C in healthy adults. It is measured using a thermometer and may indicate infection or illness if outside normal range.</w:t>
            </w:r>
          </w:p>
        </w:tc>
      </w:tr>
      <w:tr w:rsidR="00C740D2" w14:paraId="20F07E29" w14:textId="77777777">
        <w:tc>
          <w:tcPr>
            <w:tcW w:w="2830" w:type="dxa"/>
          </w:tcPr>
          <w:p w14:paraId="0064AC52" w14:textId="77777777" w:rsidR="00C740D2" w:rsidRDefault="00000000">
            <w:r>
              <w:t>Bradycardia</w:t>
            </w:r>
          </w:p>
        </w:tc>
        <w:tc>
          <w:tcPr>
            <w:tcW w:w="6186" w:type="dxa"/>
          </w:tcPr>
          <w:p w14:paraId="313387E1" w14:textId="77777777" w:rsidR="00C740D2" w:rsidRDefault="00000000">
            <w:r>
              <w:t>A slower than normal heart rate, which may be caused by certain medications, heart conduction problems, or high fitness levels.</w:t>
            </w:r>
          </w:p>
        </w:tc>
      </w:tr>
      <w:tr w:rsidR="00C740D2" w14:paraId="6CF8232C" w14:textId="77777777">
        <w:tc>
          <w:tcPr>
            <w:tcW w:w="2830" w:type="dxa"/>
          </w:tcPr>
          <w:p w14:paraId="4524AE54" w14:textId="77777777" w:rsidR="00C740D2" w:rsidRDefault="00000000">
            <w:proofErr w:type="spellStart"/>
            <w:r>
              <w:t>Bradypnoea</w:t>
            </w:r>
            <w:proofErr w:type="spellEnd"/>
          </w:p>
        </w:tc>
        <w:tc>
          <w:tcPr>
            <w:tcW w:w="6186" w:type="dxa"/>
          </w:tcPr>
          <w:p w14:paraId="2B40B8A4" w14:textId="77777777" w:rsidR="00C740D2" w:rsidRDefault="00000000">
            <w:r>
              <w:t>A slower than normal respiratory rate, which may indicate neurological issues or respiratory depression.</w:t>
            </w:r>
          </w:p>
        </w:tc>
      </w:tr>
      <w:tr w:rsidR="00C740D2" w14:paraId="453AE1E5" w14:textId="77777777">
        <w:tc>
          <w:tcPr>
            <w:tcW w:w="2830" w:type="dxa"/>
          </w:tcPr>
          <w:p w14:paraId="066A46A6" w14:textId="77777777" w:rsidR="00C740D2" w:rsidRDefault="00000000">
            <w:r>
              <w:t>Dehydration</w:t>
            </w:r>
          </w:p>
        </w:tc>
        <w:tc>
          <w:tcPr>
            <w:tcW w:w="6186" w:type="dxa"/>
          </w:tcPr>
          <w:p w14:paraId="362504EE" w14:textId="77777777" w:rsidR="00C740D2" w:rsidRDefault="00000000">
            <w:r>
              <w:t>A condition resulting from insufficient fluid intake, often indicated by low urinary output and concentrated urine.</w:t>
            </w:r>
          </w:p>
        </w:tc>
      </w:tr>
      <w:tr w:rsidR="00C740D2" w14:paraId="2BA5907A" w14:textId="77777777">
        <w:tc>
          <w:tcPr>
            <w:tcW w:w="2830" w:type="dxa"/>
          </w:tcPr>
          <w:p w14:paraId="7EF8FA4F" w14:textId="77777777" w:rsidR="00C740D2" w:rsidRDefault="00000000">
            <w:r>
              <w:t>Heart rate</w:t>
            </w:r>
          </w:p>
        </w:tc>
        <w:tc>
          <w:tcPr>
            <w:tcW w:w="6186" w:type="dxa"/>
          </w:tcPr>
          <w:p w14:paraId="30A7AD06" w14:textId="77777777" w:rsidR="00C740D2" w:rsidRDefault="00000000">
            <w:r>
              <w:t>The number of heartbeats per minute (BPM), measured by pulse or monitoring equipment. Normal adult range is 60–100 BPM.</w:t>
            </w:r>
          </w:p>
        </w:tc>
      </w:tr>
      <w:tr w:rsidR="00C740D2" w14:paraId="73186994" w14:textId="77777777">
        <w:tc>
          <w:tcPr>
            <w:tcW w:w="2830" w:type="dxa"/>
          </w:tcPr>
          <w:p w14:paraId="09A4753C" w14:textId="77777777" w:rsidR="00C740D2" w:rsidRDefault="00000000">
            <w:r>
              <w:t>Hyperglycaemia</w:t>
            </w:r>
          </w:p>
        </w:tc>
        <w:tc>
          <w:tcPr>
            <w:tcW w:w="6186" w:type="dxa"/>
          </w:tcPr>
          <w:p w14:paraId="05323B45" w14:textId="77777777" w:rsidR="00C740D2" w:rsidRDefault="00000000">
            <w:r>
              <w:t>Higher than normal blood glucose levels, which may occur in diabetes, stress, or after high sugar intake.</w:t>
            </w:r>
          </w:p>
        </w:tc>
      </w:tr>
      <w:tr w:rsidR="00C740D2" w14:paraId="27B15800" w14:textId="77777777">
        <w:tc>
          <w:tcPr>
            <w:tcW w:w="2830" w:type="dxa"/>
          </w:tcPr>
          <w:p w14:paraId="0A9756B8" w14:textId="77777777" w:rsidR="00C740D2" w:rsidRDefault="00000000">
            <w:r>
              <w:t>Hypoglycaemia</w:t>
            </w:r>
          </w:p>
        </w:tc>
        <w:tc>
          <w:tcPr>
            <w:tcW w:w="6186" w:type="dxa"/>
          </w:tcPr>
          <w:p w14:paraId="6AE67F5F" w14:textId="77777777" w:rsidR="00C740D2" w:rsidRDefault="00000000">
            <w:r>
              <w:t>Lower than normal blood glucose levels, often caused by excess insulin, fasting, or exercise.</w:t>
            </w:r>
          </w:p>
        </w:tc>
      </w:tr>
      <w:tr w:rsidR="00C740D2" w14:paraId="538BCD4A" w14:textId="77777777">
        <w:tc>
          <w:tcPr>
            <w:tcW w:w="2830" w:type="dxa"/>
          </w:tcPr>
          <w:p w14:paraId="5989AE79" w14:textId="77777777" w:rsidR="00C740D2" w:rsidRDefault="00000000">
            <w:r>
              <w:t>Hypothermia</w:t>
            </w:r>
          </w:p>
        </w:tc>
        <w:tc>
          <w:tcPr>
            <w:tcW w:w="6186" w:type="dxa"/>
          </w:tcPr>
          <w:p w14:paraId="11F733D2" w14:textId="77777777" w:rsidR="00C740D2" w:rsidRDefault="00000000">
            <w:r>
              <w:t>A condition where body temperature falls below normal, potentially caused by prolonged exposure to cold or illness.</w:t>
            </w:r>
          </w:p>
        </w:tc>
      </w:tr>
      <w:tr w:rsidR="00C740D2" w14:paraId="32A3C135" w14:textId="77777777">
        <w:tc>
          <w:tcPr>
            <w:tcW w:w="2830" w:type="dxa"/>
          </w:tcPr>
          <w:p w14:paraId="354F6D18" w14:textId="77777777" w:rsidR="00C740D2" w:rsidRDefault="00000000">
            <w:r>
              <w:lastRenderedPageBreak/>
              <w:t>Hypoxaemia</w:t>
            </w:r>
          </w:p>
        </w:tc>
        <w:tc>
          <w:tcPr>
            <w:tcW w:w="6186" w:type="dxa"/>
          </w:tcPr>
          <w:p w14:paraId="43190A0F" w14:textId="77777777" w:rsidR="00C740D2" w:rsidRDefault="00000000">
            <w:r>
              <w:t>Low levels of oxygen in the blood, often indicated by low oxygen saturation readings.</w:t>
            </w:r>
          </w:p>
        </w:tc>
      </w:tr>
      <w:tr w:rsidR="00C740D2" w14:paraId="183C7411" w14:textId="77777777">
        <w:tc>
          <w:tcPr>
            <w:tcW w:w="2830" w:type="dxa"/>
          </w:tcPr>
          <w:p w14:paraId="4F37ED56" w14:textId="77777777" w:rsidR="00C740D2" w:rsidRDefault="00000000">
            <w:r>
              <w:t>Oliguria</w:t>
            </w:r>
          </w:p>
        </w:tc>
        <w:tc>
          <w:tcPr>
            <w:tcW w:w="6186" w:type="dxa"/>
          </w:tcPr>
          <w:p w14:paraId="2F98E957" w14:textId="77777777" w:rsidR="00C740D2" w:rsidRDefault="00000000">
            <w:r>
              <w:t>Low urinary output, which may indicate dehydration, kidney impairment, or shock.</w:t>
            </w:r>
          </w:p>
        </w:tc>
      </w:tr>
      <w:tr w:rsidR="00C740D2" w14:paraId="66D5BEAC" w14:textId="77777777">
        <w:tc>
          <w:tcPr>
            <w:tcW w:w="2830" w:type="dxa"/>
          </w:tcPr>
          <w:p w14:paraId="623D7243" w14:textId="77777777" w:rsidR="00C740D2" w:rsidRDefault="00000000">
            <w:r>
              <w:t>Oxygen saturation (SpO₂)</w:t>
            </w:r>
          </w:p>
        </w:tc>
        <w:tc>
          <w:tcPr>
            <w:tcW w:w="6186" w:type="dxa"/>
          </w:tcPr>
          <w:p w14:paraId="6A55561E" w14:textId="77777777" w:rsidR="00C740D2" w:rsidRDefault="00000000">
            <w:r>
              <w:t>The percentage of haemoglobin carrying oxygen in the blood, measured using a pulse oximeter. Normal range is 95–100%. Some patients, for example those at risk of hypercapnic respiratory failure, may have a prescribed lower target range such as 88–92%; always follow clinical guidance/local policy.</w:t>
            </w:r>
          </w:p>
        </w:tc>
      </w:tr>
      <w:tr w:rsidR="00C740D2" w14:paraId="2DC6D15E" w14:textId="77777777">
        <w:tc>
          <w:tcPr>
            <w:tcW w:w="2830" w:type="dxa"/>
          </w:tcPr>
          <w:p w14:paraId="3100BD67" w14:textId="77777777" w:rsidR="00C740D2" w:rsidRDefault="00000000">
            <w:r>
              <w:t>Polyuria</w:t>
            </w:r>
          </w:p>
        </w:tc>
        <w:tc>
          <w:tcPr>
            <w:tcW w:w="6186" w:type="dxa"/>
          </w:tcPr>
          <w:p w14:paraId="046EE7FF" w14:textId="77777777" w:rsidR="00C740D2" w:rsidRDefault="00000000">
            <w:r>
              <w:t>Excessive urine output, which may indicate conditions such as diabetes or fluid imbalance.</w:t>
            </w:r>
          </w:p>
        </w:tc>
      </w:tr>
      <w:tr w:rsidR="00C740D2" w14:paraId="6F8D6307" w14:textId="77777777">
        <w:tc>
          <w:tcPr>
            <w:tcW w:w="2830" w:type="dxa"/>
          </w:tcPr>
          <w:p w14:paraId="3F5AD1AC" w14:textId="77777777" w:rsidR="00C740D2" w:rsidRDefault="00000000">
            <w:r>
              <w:t>Respiration rate</w:t>
            </w:r>
          </w:p>
        </w:tc>
        <w:tc>
          <w:tcPr>
            <w:tcW w:w="6186" w:type="dxa"/>
          </w:tcPr>
          <w:p w14:paraId="1A2A9B1D" w14:textId="77777777" w:rsidR="00C740D2" w:rsidRDefault="00000000">
            <w:r>
              <w:t>The number of breaths taken per minute. Normal adult range is 12–20 breaths per minute.</w:t>
            </w:r>
          </w:p>
        </w:tc>
      </w:tr>
      <w:tr w:rsidR="00C740D2" w14:paraId="7B6BC039" w14:textId="77777777">
        <w:tc>
          <w:tcPr>
            <w:tcW w:w="2830" w:type="dxa"/>
          </w:tcPr>
          <w:p w14:paraId="1E1CE5ED" w14:textId="77777777" w:rsidR="00C740D2" w:rsidRDefault="00000000">
            <w:r>
              <w:t>Sepsis</w:t>
            </w:r>
          </w:p>
        </w:tc>
        <w:tc>
          <w:tcPr>
            <w:tcW w:w="6186" w:type="dxa"/>
          </w:tcPr>
          <w:p w14:paraId="55AD7B9B" w14:textId="77777777" w:rsidR="00C740D2" w:rsidRDefault="00000000">
            <w:r>
              <w:t>A life-threatening condition where the body overreacts to an infection and begins to damage its own tissues and organs.</w:t>
            </w:r>
          </w:p>
        </w:tc>
      </w:tr>
      <w:tr w:rsidR="00C740D2" w14:paraId="0F726362" w14:textId="77777777">
        <w:tc>
          <w:tcPr>
            <w:tcW w:w="2830" w:type="dxa"/>
          </w:tcPr>
          <w:p w14:paraId="6FBA3F85" w14:textId="77777777" w:rsidR="00C740D2" w:rsidRDefault="00000000">
            <w:r>
              <w:t>Tachycardia</w:t>
            </w:r>
          </w:p>
        </w:tc>
        <w:tc>
          <w:tcPr>
            <w:tcW w:w="6186" w:type="dxa"/>
          </w:tcPr>
          <w:p w14:paraId="5723B20C" w14:textId="77777777" w:rsidR="00C740D2" w:rsidRDefault="00000000">
            <w:r>
              <w:t>A faster than normal heart rate, which may be caused by infection, anxiety, or heart conditions.</w:t>
            </w:r>
          </w:p>
        </w:tc>
      </w:tr>
      <w:tr w:rsidR="00C740D2" w14:paraId="3C69D881" w14:textId="77777777">
        <w:tc>
          <w:tcPr>
            <w:tcW w:w="2830" w:type="dxa"/>
          </w:tcPr>
          <w:p w14:paraId="325B6518" w14:textId="77777777" w:rsidR="00C740D2" w:rsidRDefault="00000000">
            <w:r>
              <w:t>Tachypnoea</w:t>
            </w:r>
          </w:p>
        </w:tc>
        <w:tc>
          <w:tcPr>
            <w:tcW w:w="6186" w:type="dxa"/>
          </w:tcPr>
          <w:p w14:paraId="77420FEC" w14:textId="77777777" w:rsidR="00C740D2" w:rsidRDefault="00000000">
            <w:r>
              <w:t>A faster than normal respiratory rate, which may indicate infection, fever, or respiratory distress.</w:t>
            </w:r>
          </w:p>
        </w:tc>
      </w:tr>
      <w:tr w:rsidR="00C740D2" w14:paraId="726574C4" w14:textId="77777777">
        <w:tc>
          <w:tcPr>
            <w:tcW w:w="2830" w:type="dxa"/>
          </w:tcPr>
          <w:p w14:paraId="43A3ABCC" w14:textId="77777777" w:rsidR="00C740D2" w:rsidRDefault="00000000">
            <w:r>
              <w:t>Urinary output</w:t>
            </w:r>
          </w:p>
        </w:tc>
        <w:tc>
          <w:tcPr>
            <w:tcW w:w="6186" w:type="dxa"/>
          </w:tcPr>
          <w:p w14:paraId="79029044" w14:textId="77777777" w:rsidR="00C740D2" w:rsidRDefault="00000000">
            <w:r>
              <w:t>The volume of urine produced over a period of time, typically measured in millilitres per day. Normal adult range is 800–2000 mL/day.</w:t>
            </w:r>
          </w:p>
        </w:tc>
      </w:tr>
      <w:tr w:rsidR="00D85F13" w14:paraId="1C4CFAF4" w14:textId="77777777">
        <w:tc>
          <w:tcPr>
            <w:tcW w:w="2830" w:type="dxa"/>
          </w:tcPr>
          <w:p w14:paraId="01525DE1" w14:textId="77777777" w:rsidR="00D85F13" w:rsidRDefault="00D85F13"/>
        </w:tc>
        <w:tc>
          <w:tcPr>
            <w:tcW w:w="6186" w:type="dxa"/>
          </w:tcPr>
          <w:p w14:paraId="4FE84286" w14:textId="77777777" w:rsidR="00D85F13" w:rsidRDefault="00D85F13"/>
        </w:tc>
      </w:tr>
      <w:tr w:rsidR="00D85F13" w14:paraId="15839E50" w14:textId="77777777">
        <w:tc>
          <w:tcPr>
            <w:tcW w:w="2830" w:type="dxa"/>
          </w:tcPr>
          <w:p w14:paraId="5CCFE6D5" w14:textId="77777777" w:rsidR="00D85F13" w:rsidRDefault="00D85F13"/>
        </w:tc>
        <w:tc>
          <w:tcPr>
            <w:tcW w:w="6186" w:type="dxa"/>
          </w:tcPr>
          <w:p w14:paraId="2ED75278" w14:textId="77777777" w:rsidR="00D85F13" w:rsidRDefault="00D85F13"/>
        </w:tc>
      </w:tr>
      <w:tr w:rsidR="00D85F13" w14:paraId="18EA27AB" w14:textId="77777777">
        <w:tc>
          <w:tcPr>
            <w:tcW w:w="2830" w:type="dxa"/>
          </w:tcPr>
          <w:p w14:paraId="65FA0E75" w14:textId="77777777" w:rsidR="00D85F13" w:rsidRDefault="00D85F13"/>
        </w:tc>
        <w:tc>
          <w:tcPr>
            <w:tcW w:w="6186" w:type="dxa"/>
          </w:tcPr>
          <w:p w14:paraId="450982C2" w14:textId="77777777" w:rsidR="00D85F13" w:rsidRDefault="00D85F13"/>
        </w:tc>
      </w:tr>
      <w:tr w:rsidR="00D85F13" w14:paraId="60746BA3" w14:textId="77777777">
        <w:tc>
          <w:tcPr>
            <w:tcW w:w="2830" w:type="dxa"/>
          </w:tcPr>
          <w:p w14:paraId="74ABBBA1" w14:textId="77777777" w:rsidR="00D85F13" w:rsidRDefault="00D85F13"/>
        </w:tc>
        <w:tc>
          <w:tcPr>
            <w:tcW w:w="6186" w:type="dxa"/>
          </w:tcPr>
          <w:p w14:paraId="7B49FCCE" w14:textId="77777777" w:rsidR="00D85F13" w:rsidRDefault="00D85F13"/>
        </w:tc>
      </w:tr>
    </w:tbl>
    <w:p w14:paraId="393D6AFB" w14:textId="77777777" w:rsidR="00C740D2" w:rsidRDefault="00C740D2"/>
    <w:sectPr w:rsidR="00C740D2">
      <w:headerReference w:type="default" r:id="rId7"/>
      <w:footerReference w:type="default" r:id="rId8"/>
      <w:pgSz w:w="11906" w:h="16838"/>
      <w:pgMar w:top="1247" w:right="1440" w:bottom="2127"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608B8" w14:textId="77777777" w:rsidR="0034653D" w:rsidRDefault="0034653D">
      <w:pPr>
        <w:spacing w:after="0" w:line="240" w:lineRule="auto"/>
      </w:pPr>
      <w:r>
        <w:separator/>
      </w:r>
    </w:p>
  </w:endnote>
  <w:endnote w:type="continuationSeparator" w:id="0">
    <w:p w14:paraId="4581E31B" w14:textId="77777777" w:rsidR="0034653D" w:rsidRDefault="00346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36EA313-B95A-421A-9348-2F75B3EA7DD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1B488E7-826C-410A-8C54-5BED7217D4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A7B9D" w14:textId="77777777" w:rsidR="00C740D2" w:rsidRDefault="00C740D2">
    <w:pPr>
      <w:pBdr>
        <w:top w:val="nil"/>
        <w:left w:val="nil"/>
        <w:bottom w:val="nil"/>
        <w:right w:val="nil"/>
        <w:between w:val="nil"/>
      </w:pBdr>
      <w:tabs>
        <w:tab w:val="center" w:pos="4513"/>
        <w:tab w:val="right" w:pos="9026"/>
      </w:tabs>
      <w:spacing w:after="0" w:line="240" w:lineRule="auto"/>
      <w:jc w:val="right"/>
      <w:rPr>
        <w:sz w:val="20"/>
        <w:szCs w:val="20"/>
      </w:rPr>
    </w:pPr>
  </w:p>
  <w:tbl>
    <w:tblPr>
      <w:tblStyle w:val="a1"/>
      <w:tblW w:w="902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23"/>
    </w:tblGrid>
    <w:tr w:rsidR="00C740D2" w14:paraId="0ED621A2" w14:textId="77777777">
      <w:tc>
        <w:tcPr>
          <w:tcW w:w="9026" w:type="dxa"/>
          <w:gridSpan w:val="2"/>
        </w:tcPr>
        <w:p w14:paraId="74E4F69F" w14:textId="77777777" w:rsidR="00C740D2"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and Science: Physiological measurements (Health)</w:t>
          </w:r>
        </w:p>
      </w:tc>
    </w:tr>
    <w:tr w:rsidR="00C740D2" w14:paraId="59444B1C" w14:textId="77777777" w:rsidTr="004E75AA">
      <w:tc>
        <w:tcPr>
          <w:tcW w:w="5103" w:type="dxa"/>
        </w:tcPr>
        <w:p w14:paraId="47D4FEAC" w14:textId="77777777" w:rsidR="00C740D2"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2026</w:t>
          </w:r>
        </w:p>
      </w:tc>
      <w:tc>
        <w:tcPr>
          <w:tcW w:w="3923" w:type="dxa"/>
          <w:vAlign w:val="bottom"/>
        </w:tcPr>
        <w:p w14:paraId="513AD683" w14:textId="77777777" w:rsidR="00C740D2"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2C02641D" w14:textId="77777777" w:rsidR="00C740D2" w:rsidRDefault="00C740D2">
    <w:pPr>
      <w:pBdr>
        <w:top w:val="nil"/>
        <w:left w:val="nil"/>
        <w:bottom w:val="nil"/>
        <w:right w:val="nil"/>
        <w:between w:val="nil"/>
      </w:pBdr>
      <w:tabs>
        <w:tab w:val="center" w:pos="4513"/>
        <w:tab w:val="right" w:pos="9026"/>
      </w:tabs>
      <w:spacing w:after="0" w:line="240" w:lineRule="auto"/>
      <w:jc w:val="right"/>
      <w:rPr>
        <w:sz w:val="20"/>
        <w:szCs w:val="20"/>
      </w:rPr>
    </w:pPr>
  </w:p>
  <w:p w14:paraId="72C7786F" w14:textId="77777777" w:rsidR="00C740D2"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4E75AA">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1C9B5" w14:textId="77777777" w:rsidR="0034653D" w:rsidRDefault="0034653D">
      <w:pPr>
        <w:spacing w:after="0" w:line="240" w:lineRule="auto"/>
      </w:pPr>
      <w:r>
        <w:separator/>
      </w:r>
    </w:p>
  </w:footnote>
  <w:footnote w:type="continuationSeparator" w:id="0">
    <w:p w14:paraId="1454B97A" w14:textId="77777777" w:rsidR="0034653D" w:rsidRDefault="00346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8C6DB" w14:textId="77777777" w:rsidR="00C740D2" w:rsidRDefault="00C740D2">
    <w:pPr>
      <w:widowControl w:val="0"/>
      <w:pBdr>
        <w:top w:val="nil"/>
        <w:left w:val="nil"/>
        <w:bottom w:val="nil"/>
        <w:right w:val="nil"/>
        <w:between w:val="nil"/>
      </w:pBdr>
      <w:spacing w:after="0" w:line="276" w:lineRule="auto"/>
    </w:pPr>
  </w:p>
  <w:tbl>
    <w:tblPr>
      <w:tblStyle w:val="a0"/>
      <w:tblW w:w="902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2130"/>
      <w:gridCol w:w="6896"/>
    </w:tblGrid>
    <w:tr w:rsidR="00C740D2" w14:paraId="5D086AA1" w14:textId="77777777">
      <w:tc>
        <w:tcPr>
          <w:tcW w:w="2130" w:type="dxa"/>
        </w:tcPr>
        <w:p w14:paraId="3491A53D" w14:textId="77777777" w:rsidR="00C740D2" w:rsidRDefault="00C740D2">
          <w:pPr>
            <w:pBdr>
              <w:top w:val="nil"/>
              <w:left w:val="nil"/>
              <w:bottom w:val="nil"/>
              <w:right w:val="nil"/>
              <w:between w:val="nil"/>
            </w:pBdr>
            <w:tabs>
              <w:tab w:val="center" w:pos="4513"/>
              <w:tab w:val="right" w:pos="9026"/>
            </w:tabs>
            <w:spacing w:after="120"/>
            <w:rPr>
              <w:sz w:val="20"/>
              <w:szCs w:val="20"/>
            </w:rPr>
          </w:pPr>
        </w:p>
      </w:tc>
      <w:tc>
        <w:tcPr>
          <w:tcW w:w="6896" w:type="dxa"/>
        </w:tcPr>
        <w:p w14:paraId="527CDB4B" w14:textId="77777777" w:rsidR="00C740D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Glossary</w:t>
          </w:r>
        </w:p>
        <w:p w14:paraId="1AF5A6B0" w14:textId="77777777" w:rsidR="00C740D2" w:rsidRDefault="00C740D2">
          <w:pPr>
            <w:pBdr>
              <w:top w:val="nil"/>
              <w:left w:val="nil"/>
              <w:bottom w:val="nil"/>
              <w:right w:val="nil"/>
              <w:between w:val="nil"/>
            </w:pBdr>
            <w:tabs>
              <w:tab w:val="center" w:pos="4513"/>
              <w:tab w:val="right" w:pos="9026"/>
            </w:tabs>
            <w:spacing w:after="120"/>
            <w:jc w:val="right"/>
            <w:rPr>
              <w:sz w:val="20"/>
              <w:szCs w:val="20"/>
            </w:rPr>
          </w:pPr>
        </w:p>
      </w:tc>
    </w:tr>
  </w:tbl>
  <w:p w14:paraId="26EF8146" w14:textId="77777777" w:rsidR="00C740D2"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50BB95C3" wp14:editId="476D2871">
          <wp:simplePos x="0" y="0"/>
          <wp:positionH relativeFrom="column">
            <wp:posOffset>1</wp:posOffset>
          </wp:positionH>
          <wp:positionV relativeFrom="paragraph">
            <wp:posOffset>-601344</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0D2"/>
    <w:rsid w:val="00201110"/>
    <w:rsid w:val="0034653D"/>
    <w:rsid w:val="00430B7A"/>
    <w:rsid w:val="004E75AA"/>
    <w:rsid w:val="00A46134"/>
    <w:rsid w:val="00AB7CB3"/>
    <w:rsid w:val="00BF7B4A"/>
    <w:rsid w:val="00C740D2"/>
    <w:rsid w:val="00D85F13"/>
    <w:rsid w:val="00E65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98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46631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2EEBE"/>
      <w:spacing w:before="600" w:after="600" w:line="240" w:lineRule="auto"/>
      <w:jc w:val="center"/>
    </w:pPr>
    <w:rPr>
      <w:b/>
      <w:bCs/>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113" w:type="dxa"/>
        <w:left w:w="108" w:type="dxa"/>
        <w:bottom w:w="113"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4E7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5AA"/>
  </w:style>
  <w:style w:type="paragraph" w:styleId="Footer">
    <w:name w:val="footer"/>
    <w:basedOn w:val="Normal"/>
    <w:link w:val="FooterChar"/>
    <w:uiPriority w:val="99"/>
    <w:unhideWhenUsed/>
    <w:rsid w:val="004E7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7Yet0GsfAcykC1Q0HDJLv1k9pA==">CgMxLjAyDmguNDR6M2NyYnVmYjk4OAByITFycDZjaUdUdkN6ODAwZ3NUeVJldlBnQV85NjJBeUJFSQ==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EAD09E-30D2-4C41-A6F8-8FF7450047AB}"/>
</file>

<file path=customXml/itemProps3.xml><?xml version="1.0" encoding="utf-8"?>
<ds:datastoreItem xmlns:ds="http://schemas.openxmlformats.org/officeDocument/2006/customXml" ds:itemID="{46ABD32D-DE8D-49D5-A5CD-06B2CB4F7FA4}"/>
</file>

<file path=customXml/itemProps4.xml><?xml version="1.0" encoding="utf-8"?>
<ds:datastoreItem xmlns:ds="http://schemas.openxmlformats.org/officeDocument/2006/customXml" ds:itemID="{AF999EA5-71F9-4340-8318-3D3A297822F6}"/>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2656</Characters>
  <Application>Microsoft Office Word</Application>
  <DocSecurity>0</DocSecurity>
  <Lines>22</Lines>
  <Paragraphs>6</Paragraphs>
  <ScaleCrop>false</ScaleCrop>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2026-06-09T20:49:00Z</dcterms:created>
  <dcterms:modified xsi:type="dcterms:W3CDTF">2026-06-09T20:49:00Z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