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0C4B4" w14:textId="387FD204" w:rsidR="001E7009" w:rsidRPr="00D521F3" w:rsidRDefault="2B64D6E8" w:rsidP="004E4DD3">
      <w:pPr>
        <w:pStyle w:val="Chapter"/>
        <w:spacing w:before="0"/>
      </w:pPr>
      <w:r w:rsidRPr="00D521F3">
        <w:t>Glossary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6631"/>
      </w:tblGrid>
      <w:tr w:rsidR="00862557" w:rsidRPr="00862557" w14:paraId="1E554EE1" w14:textId="77777777" w:rsidTr="00BF05A0">
        <w:trPr>
          <w:trHeight w:val="330"/>
        </w:trPr>
        <w:tc>
          <w:tcPr>
            <w:tcW w:w="2436" w:type="dxa"/>
            <w:noWrap/>
          </w:tcPr>
          <w:p w14:paraId="2D5DBCFE" w14:textId="517E076C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6631" w:type="dxa"/>
            <w:noWrap/>
          </w:tcPr>
          <w:p w14:paraId="00281FB7" w14:textId="6AEF99D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hAnsi="Arial" w:cs="Arial"/>
                <w:b/>
                <w:bCs/>
              </w:rPr>
              <w:t>Definition</w:t>
            </w:r>
          </w:p>
        </w:tc>
      </w:tr>
      <w:tr w:rsidR="00862557" w:rsidRPr="00862557" w14:paraId="7FA1B142" w14:textId="77777777" w:rsidTr="00BF05A0">
        <w:trPr>
          <w:trHeight w:val="330"/>
        </w:trPr>
        <w:tc>
          <w:tcPr>
            <w:tcW w:w="2436" w:type="dxa"/>
            <w:noWrap/>
            <w:vAlign w:val="center"/>
            <w:hideMark/>
          </w:tcPr>
          <w:p w14:paraId="7D1CA898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Acceleration (metres per second squared, m/s2)</w:t>
            </w:r>
          </w:p>
        </w:tc>
        <w:tc>
          <w:tcPr>
            <w:tcW w:w="6631" w:type="dxa"/>
            <w:noWrap/>
            <w:vAlign w:val="center"/>
            <w:hideMark/>
          </w:tcPr>
          <w:p w14:paraId="4F7CBE69" w14:textId="1D2175A1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 xml:space="preserve">The rate of change of velocity of an object. Acceleration has units m/s2. In mechanical principles, acceleration is used in calculations involving force </w:t>
            </w:r>
            <w:r w:rsidRPr="00AE79A6">
              <w:rPr>
                <w:rFonts w:ascii="Arial" w:hAnsi="Arial" w:cs="Arial"/>
                <w:sz w:val="22"/>
                <w:szCs w:val="22"/>
              </w:rPr>
              <w:t>(</w:t>
            </w:r>
            <m:oMath>
              <m:r>
                <w:rPr>
                  <w:rFonts w:ascii="Cambria Math" w:hAnsi="Cambria Math" w:cs="Arial"/>
                  <w:sz w:val="22"/>
                  <w:szCs w:val="22"/>
                </w:rPr>
                <m:t>F=m×a</m:t>
              </m:r>
            </m:oMath>
            <w:r w:rsidRPr="00AE79A6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862557" w:rsidRPr="00862557" w14:paraId="5130BC89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6B7240B2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Ampere (A)</w:t>
            </w:r>
          </w:p>
        </w:tc>
        <w:tc>
          <w:tcPr>
            <w:tcW w:w="6631" w:type="dxa"/>
            <w:noWrap/>
            <w:vAlign w:val="center"/>
            <w:hideMark/>
          </w:tcPr>
          <w:p w14:paraId="1928E6F3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SI unit of electric current.</w:t>
            </w:r>
          </w:p>
        </w:tc>
      </w:tr>
      <w:tr w:rsidR="00862557" w:rsidRPr="00862557" w14:paraId="71288BC9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55BDBFD1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Approved Codes of Practice (</w:t>
            </w:r>
            <w:proofErr w:type="spellStart"/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ACoPs</w:t>
            </w:r>
            <w:proofErr w:type="spellEnd"/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6631" w:type="dxa"/>
            <w:noWrap/>
            <w:vAlign w:val="center"/>
            <w:hideMark/>
          </w:tcPr>
          <w:p w14:paraId="6B748BEA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Guidance documents issued to support compliance with health and safety legislation. They provide practical advice on how to meet legal requirements in construction environments.</w:t>
            </w:r>
          </w:p>
        </w:tc>
      </w:tr>
      <w:tr w:rsidR="00862557" w:rsidRPr="00862557" w14:paraId="5E90A090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3B87A0EB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Bending (Structural Force)</w:t>
            </w:r>
          </w:p>
        </w:tc>
        <w:tc>
          <w:tcPr>
            <w:tcW w:w="6631" w:type="dxa"/>
            <w:noWrap/>
            <w:vAlign w:val="center"/>
            <w:hideMark/>
          </w:tcPr>
          <w:p w14:paraId="5D353DCC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A force that causes a structural member to curve under load. Considered when assessing beams and other load-bearing elements.</w:t>
            </w:r>
          </w:p>
        </w:tc>
      </w:tr>
      <w:tr w:rsidR="00862557" w:rsidRPr="00862557" w14:paraId="4ADB8BC6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6D6C8BE7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British Thermal Unit (BTU)</w:t>
            </w:r>
          </w:p>
        </w:tc>
        <w:tc>
          <w:tcPr>
            <w:tcW w:w="6631" w:type="dxa"/>
            <w:noWrap/>
            <w:vAlign w:val="center"/>
            <w:hideMark/>
          </w:tcPr>
          <w:p w14:paraId="784003B7" w14:textId="387C373A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A non-SI unit of energy used to measure heat, often used in heating and cooling systems.</w:t>
            </w:r>
            <w:r w:rsidR="00BF05A0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 xml:space="preserve"> </w:t>
            </w: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1 BTU = 1055 J</w:t>
            </w:r>
          </w:p>
        </w:tc>
      </w:tr>
      <w:tr w:rsidR="00862557" w:rsidRPr="00862557" w14:paraId="61007347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5B0CC5CE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Building Information Modelling (BIM)</w:t>
            </w:r>
          </w:p>
        </w:tc>
        <w:tc>
          <w:tcPr>
            <w:tcW w:w="6631" w:type="dxa"/>
            <w:noWrap/>
            <w:vAlign w:val="center"/>
            <w:hideMark/>
          </w:tcPr>
          <w:p w14:paraId="140D65A0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A digital process used to create and manage information about a building throughout its life cycle, enabling collaborative design and real-time project coordination.</w:t>
            </w:r>
          </w:p>
        </w:tc>
      </w:tr>
      <w:tr w:rsidR="00862557" w:rsidRPr="00862557" w14:paraId="444BDC92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695367EC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Carbon Footprint</w:t>
            </w:r>
          </w:p>
        </w:tc>
        <w:tc>
          <w:tcPr>
            <w:tcW w:w="6631" w:type="dxa"/>
            <w:noWrap/>
            <w:vAlign w:val="center"/>
            <w:hideMark/>
          </w:tcPr>
          <w:p w14:paraId="3FC6AF9C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A measure of the total carbon dioxide emissions associated with materials, construction processes, or building operation.</w:t>
            </w:r>
          </w:p>
        </w:tc>
      </w:tr>
      <w:tr w:rsidR="00862557" w:rsidRPr="00862557" w14:paraId="021A8FEB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2D59B245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Circuit Breaker (CB)</w:t>
            </w:r>
          </w:p>
        </w:tc>
        <w:tc>
          <w:tcPr>
            <w:tcW w:w="6631" w:type="dxa"/>
            <w:noWrap/>
            <w:vAlign w:val="center"/>
            <w:hideMark/>
          </w:tcPr>
          <w:p w14:paraId="6518C3C0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An electrical protective device that automatically interrupts a circuit when a fault such as overload or short circuit occurs.</w:t>
            </w:r>
          </w:p>
        </w:tc>
      </w:tr>
      <w:tr w:rsidR="00862557" w:rsidRPr="00862557" w14:paraId="3A8E8017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500FE4D1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Compression</w:t>
            </w:r>
          </w:p>
        </w:tc>
        <w:tc>
          <w:tcPr>
            <w:tcW w:w="6631" w:type="dxa"/>
            <w:noWrap/>
            <w:vAlign w:val="center"/>
            <w:hideMark/>
          </w:tcPr>
          <w:p w14:paraId="0CC9F37B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A force that pushes materials together, shortening or compacting structural elements.</w:t>
            </w:r>
          </w:p>
        </w:tc>
      </w:tr>
      <w:tr w:rsidR="00862557" w:rsidRPr="00862557" w14:paraId="47202F73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07D4B3FF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Conduction</w:t>
            </w:r>
          </w:p>
        </w:tc>
        <w:tc>
          <w:tcPr>
            <w:tcW w:w="6631" w:type="dxa"/>
            <w:noWrap/>
            <w:vAlign w:val="center"/>
            <w:hideMark/>
          </w:tcPr>
          <w:p w14:paraId="0609F59D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transfer of heat through a material by direct contact between particles.</w:t>
            </w:r>
          </w:p>
        </w:tc>
      </w:tr>
      <w:tr w:rsidR="00862557" w:rsidRPr="00862557" w14:paraId="06474C84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38C91715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Convection</w:t>
            </w:r>
          </w:p>
        </w:tc>
        <w:tc>
          <w:tcPr>
            <w:tcW w:w="6631" w:type="dxa"/>
            <w:noWrap/>
            <w:vAlign w:val="center"/>
            <w:hideMark/>
          </w:tcPr>
          <w:p w14:paraId="15876556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transfer of heat through the movement of fluids (liquids or gases), such as warm air rising and cool air falling.</w:t>
            </w:r>
          </w:p>
        </w:tc>
      </w:tr>
      <w:tr w:rsidR="00862557" w:rsidRPr="00862557" w14:paraId="35556F3F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784F273C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Corrosion</w:t>
            </w:r>
          </w:p>
        </w:tc>
        <w:tc>
          <w:tcPr>
            <w:tcW w:w="6631" w:type="dxa"/>
            <w:noWrap/>
            <w:vAlign w:val="center"/>
            <w:hideMark/>
          </w:tcPr>
          <w:p w14:paraId="0FA12D59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deterioration of a material, usually metal, due to chemical reactions with its environment.</w:t>
            </w:r>
          </w:p>
        </w:tc>
      </w:tr>
      <w:tr w:rsidR="00862557" w:rsidRPr="00862557" w14:paraId="5A717819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29999B68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Current (ampere, A)</w:t>
            </w:r>
          </w:p>
        </w:tc>
        <w:tc>
          <w:tcPr>
            <w:tcW w:w="6631" w:type="dxa"/>
            <w:noWrap/>
            <w:vAlign w:val="bottom"/>
            <w:hideMark/>
          </w:tcPr>
          <w:p w14:paraId="1BF9D51D" w14:textId="347CBD36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AE79A6">
              <w:rPr>
                <w:rFonts w:ascii="Arial" w:hAnsi="Arial" w:cs="Arial"/>
                <w:sz w:val="22"/>
                <w:szCs w:val="22"/>
              </w:rPr>
              <w:t xml:space="preserve">The flow of electric charge through a conductor, measured in amperes. Often represented by the symbol </w:t>
            </w:r>
            <m:oMath>
              <m:r>
                <w:rPr>
                  <w:rFonts w:ascii="Cambria Math" w:hAnsi="Cambria Math" w:cs="Arial"/>
                  <w:sz w:val="22"/>
                  <w:szCs w:val="22"/>
                </w:rPr>
                <m:t>I</m:t>
              </m:r>
            </m:oMath>
            <w:r w:rsidRPr="00AE79A6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862557" w:rsidRPr="00862557" w14:paraId="07AD8D81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58A705C2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Derived SI Units</w:t>
            </w:r>
          </w:p>
        </w:tc>
        <w:tc>
          <w:tcPr>
            <w:tcW w:w="6631" w:type="dxa"/>
            <w:noWrap/>
            <w:vAlign w:val="bottom"/>
            <w:hideMark/>
          </w:tcPr>
          <w:p w14:paraId="5C1AB563" w14:textId="3C2AA665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AE79A6">
              <w:rPr>
                <w:rFonts w:ascii="Arial" w:hAnsi="Arial" w:cs="Arial"/>
                <w:sz w:val="22"/>
                <w:szCs w:val="22"/>
              </w:rPr>
              <w:t xml:space="preserve">Units formed from base SI units, such as newton (force), joule (energy), watt (power), volt (potential difference), and pascal (pressure). For example, </w:t>
            </w:r>
            <m:oMath>
              <m:r>
                <w:rPr>
                  <w:rFonts w:ascii="Cambria Math" w:hAnsi="Cambria Math" w:cs="Arial"/>
                  <w:sz w:val="22"/>
                  <w:szCs w:val="22"/>
                </w:rPr>
                <m:t xml:space="preserve">1 </m:t>
              </m:r>
              <m:r>
                <m:rPr>
                  <m:sty m:val="p"/>
                </m:rPr>
                <w:rPr>
                  <w:rFonts w:ascii="Cambria Math" w:hAnsi="Cambria Math" w:cs="Arial"/>
                  <w:sz w:val="22"/>
                  <w:szCs w:val="22"/>
                </w:rPr>
                <m:t>N</m:t>
              </m:r>
              <m:r>
                <w:rPr>
                  <w:rFonts w:ascii="Cambria Math" w:hAnsi="Cambria Math" w:cs="Arial"/>
                  <w:sz w:val="22"/>
                  <w:szCs w:val="22"/>
                </w:rPr>
                <m:t xml:space="preserve">=1 </m:t>
              </m:r>
              <m:r>
                <m:rPr>
                  <m:sty m:val="p"/>
                </m:rPr>
                <w:rPr>
                  <w:rFonts w:ascii="Cambria Math" w:hAnsi="Cambria Math" w:cs="Arial"/>
                  <w:sz w:val="22"/>
                  <w:szCs w:val="22"/>
                </w:rPr>
                <m:t>kg m/</m:t>
              </m:r>
              <m:sSup>
                <m:sSupPr>
                  <m:ctrlPr>
                    <w:rPr>
                      <w:rFonts w:ascii="Cambria Math" w:hAnsi="Cambria Math" w:cs="Arial"/>
                      <w:iCs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sup>
              </m:sSup>
            </m:oMath>
          </w:p>
        </w:tc>
      </w:tr>
      <w:tr w:rsidR="00862557" w:rsidRPr="00862557" w14:paraId="3E7BE785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68B27F33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lastRenderedPageBreak/>
              <w:t>Efficiency</w:t>
            </w:r>
          </w:p>
        </w:tc>
        <w:tc>
          <w:tcPr>
            <w:tcW w:w="6631" w:type="dxa"/>
            <w:noWrap/>
            <w:vAlign w:val="center"/>
            <w:hideMark/>
          </w:tcPr>
          <w:p w14:paraId="22C6C4E2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ratio of useful output to total input, often expressed as a percentage. In mechanical and electrical systems, efficiency accounts for energy losses.</w:t>
            </w:r>
          </w:p>
        </w:tc>
      </w:tr>
      <w:tr w:rsidR="00862557" w:rsidRPr="00862557" w14:paraId="5FF9A358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326DB5DB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Energy (joule, J)</w:t>
            </w:r>
          </w:p>
        </w:tc>
        <w:tc>
          <w:tcPr>
            <w:tcW w:w="6631" w:type="dxa"/>
            <w:noWrap/>
            <w:vAlign w:val="center"/>
            <w:hideMark/>
          </w:tcPr>
          <w:p w14:paraId="35E6528C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capacity to do work. In building services engineering, energy is associated with heat, electricity and mechanical systems.</w:t>
            </w:r>
          </w:p>
        </w:tc>
      </w:tr>
      <w:tr w:rsidR="00862557" w:rsidRPr="00862557" w14:paraId="380D99AB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06FC42AF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Environmental Protection Act</w:t>
            </w:r>
          </w:p>
        </w:tc>
        <w:tc>
          <w:tcPr>
            <w:tcW w:w="6631" w:type="dxa"/>
            <w:noWrap/>
            <w:vAlign w:val="center"/>
            <w:hideMark/>
          </w:tcPr>
          <w:p w14:paraId="1696F3A4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Legislation that establishes responsibilities for preventing environmental harm through waste management and pollution control.</w:t>
            </w:r>
          </w:p>
        </w:tc>
      </w:tr>
      <w:tr w:rsidR="00862557" w:rsidRPr="00862557" w14:paraId="23679FA1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7CCD0CB5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Force (newton, N)</w:t>
            </w:r>
          </w:p>
        </w:tc>
        <w:tc>
          <w:tcPr>
            <w:tcW w:w="6631" w:type="dxa"/>
            <w:noWrap/>
            <w:vAlign w:val="bottom"/>
            <w:hideMark/>
          </w:tcPr>
          <w:p w14:paraId="27A94277" w14:textId="7E91B112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AE79A6">
              <w:rPr>
                <w:rFonts w:ascii="Arial" w:hAnsi="Arial" w:cs="Arial"/>
                <w:sz w:val="22"/>
                <w:szCs w:val="22"/>
              </w:rPr>
              <w:t xml:space="preserve">A push or pull acting on an object. Calculated using </w:t>
            </w:r>
            <m:oMath>
              <m:r>
                <w:rPr>
                  <w:rFonts w:ascii="Cambria Math" w:hAnsi="Cambria Math" w:cs="Arial"/>
                  <w:sz w:val="22"/>
                  <w:szCs w:val="22"/>
                </w:rPr>
                <m:t>F=m×a</m:t>
              </m:r>
            </m:oMath>
            <w:r w:rsidRPr="00AE79A6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862557" w:rsidRPr="00862557" w14:paraId="7474978A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551193E6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Frequency (hertz, Hz)</w:t>
            </w:r>
          </w:p>
        </w:tc>
        <w:tc>
          <w:tcPr>
            <w:tcW w:w="6631" w:type="dxa"/>
            <w:noWrap/>
            <w:vAlign w:val="center"/>
            <w:hideMark/>
          </w:tcPr>
          <w:p w14:paraId="1E63C476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number of cycles per second, such as in an alternating current (AC) supply.</w:t>
            </w:r>
          </w:p>
        </w:tc>
      </w:tr>
      <w:tr w:rsidR="00862557" w:rsidRPr="00862557" w14:paraId="3FA5C7EB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37E67D92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Gravity</w:t>
            </w:r>
          </w:p>
        </w:tc>
        <w:tc>
          <w:tcPr>
            <w:tcW w:w="6631" w:type="dxa"/>
            <w:noWrap/>
            <w:vAlign w:val="bottom"/>
            <w:hideMark/>
          </w:tcPr>
          <w:p w14:paraId="60809375" w14:textId="0559CCBA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AE79A6">
              <w:rPr>
                <w:rFonts w:ascii="Arial" w:hAnsi="Arial" w:cs="Arial"/>
                <w:sz w:val="22"/>
                <w:szCs w:val="22"/>
              </w:rPr>
              <w:t xml:space="preserve">The force of attraction between masses. On Earth, this gives objects an acceleration of approximately 9.8 m/s² toward the surface. Often represented by the symbol </w:t>
            </w:r>
            <m:oMath>
              <m:r>
                <w:rPr>
                  <w:rFonts w:ascii="Cambria Math" w:hAnsi="Cambria Math" w:cs="Arial"/>
                  <w:sz w:val="22"/>
                  <w:szCs w:val="22"/>
                </w:rPr>
                <m:t>g</m:t>
              </m:r>
            </m:oMath>
            <w:r w:rsidRPr="00AE79A6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862557" w:rsidRPr="00862557" w14:paraId="1D1238AB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63C01B9B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Heat Loss</w:t>
            </w:r>
          </w:p>
        </w:tc>
        <w:tc>
          <w:tcPr>
            <w:tcW w:w="6631" w:type="dxa"/>
            <w:noWrap/>
            <w:vAlign w:val="center"/>
            <w:hideMark/>
          </w:tcPr>
          <w:p w14:paraId="5BEFE432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transfer of heat from a building to the external environment, typically through walls, floors, roofs, windows and ventilation.</w:t>
            </w:r>
          </w:p>
        </w:tc>
      </w:tr>
      <w:tr w:rsidR="00862557" w:rsidRPr="00862557" w14:paraId="181CD1E4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5F14BE2D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Heat Transfer</w:t>
            </w:r>
          </w:p>
        </w:tc>
        <w:tc>
          <w:tcPr>
            <w:tcW w:w="6631" w:type="dxa"/>
            <w:noWrap/>
            <w:vAlign w:val="center"/>
            <w:hideMark/>
          </w:tcPr>
          <w:p w14:paraId="39D0BE2F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movement of thermal energy by conduction, convection or radiation.</w:t>
            </w:r>
          </w:p>
        </w:tc>
      </w:tr>
      <w:tr w:rsidR="00862557" w:rsidRPr="00862557" w14:paraId="2F91FE73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24ACCFE0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Hertz (Hz)</w:t>
            </w:r>
          </w:p>
        </w:tc>
        <w:tc>
          <w:tcPr>
            <w:tcW w:w="6631" w:type="dxa"/>
            <w:noWrap/>
            <w:vAlign w:val="center"/>
            <w:hideMark/>
          </w:tcPr>
          <w:p w14:paraId="14AF991F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SI unit of frequency. 1 Hz = 1 cycle per second.</w:t>
            </w:r>
          </w:p>
        </w:tc>
      </w:tr>
      <w:tr w:rsidR="00862557" w:rsidRPr="00862557" w14:paraId="74036581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0EDB407F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International System of Units (SI Units)</w:t>
            </w:r>
          </w:p>
        </w:tc>
        <w:tc>
          <w:tcPr>
            <w:tcW w:w="6631" w:type="dxa"/>
            <w:noWrap/>
            <w:vAlign w:val="center"/>
            <w:hideMark/>
          </w:tcPr>
          <w:p w14:paraId="0C45FCE4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internationally recognised system of measurement used in engineering calculations, including metre (m), kilogram (kg), second (s), ampere (A), and kelvin (K).</w:t>
            </w:r>
          </w:p>
        </w:tc>
      </w:tr>
      <w:tr w:rsidR="00862557" w:rsidRPr="00862557" w14:paraId="3886F1E3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415A0C49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Joule (J)</w:t>
            </w:r>
          </w:p>
        </w:tc>
        <w:tc>
          <w:tcPr>
            <w:tcW w:w="6631" w:type="dxa"/>
            <w:noWrap/>
            <w:vAlign w:val="center"/>
            <w:hideMark/>
          </w:tcPr>
          <w:p w14:paraId="36962144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SI unit of energy or work.</w:t>
            </w:r>
          </w:p>
        </w:tc>
      </w:tr>
      <w:tr w:rsidR="00862557" w:rsidRPr="00862557" w14:paraId="711F6EB6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2BFA768B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Lean Construction</w:t>
            </w:r>
          </w:p>
        </w:tc>
        <w:tc>
          <w:tcPr>
            <w:tcW w:w="6631" w:type="dxa"/>
            <w:noWrap/>
            <w:vAlign w:val="center"/>
            <w:hideMark/>
          </w:tcPr>
          <w:p w14:paraId="42A28D9C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An approach to construction that focuses on reducing waste, improving efficiency and delivering value through effective planning and continuous improvement.</w:t>
            </w:r>
          </w:p>
        </w:tc>
      </w:tr>
      <w:tr w:rsidR="00862557" w:rsidRPr="00862557" w14:paraId="23F387ED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5DE74289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Lumen (</w:t>
            </w:r>
            <w:proofErr w:type="spellStart"/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lm</w:t>
            </w:r>
            <w:proofErr w:type="spellEnd"/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6631" w:type="dxa"/>
            <w:noWrap/>
            <w:vAlign w:val="center"/>
            <w:hideMark/>
          </w:tcPr>
          <w:p w14:paraId="0BF07CE1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SI unit of luminous flux, measuring the amount of visible light emitted.</w:t>
            </w:r>
          </w:p>
        </w:tc>
      </w:tr>
      <w:tr w:rsidR="00862557" w:rsidRPr="00862557" w14:paraId="74E064E3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50B24DD0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Lux (lx)</w:t>
            </w:r>
          </w:p>
        </w:tc>
        <w:tc>
          <w:tcPr>
            <w:tcW w:w="6631" w:type="dxa"/>
            <w:noWrap/>
            <w:vAlign w:val="center"/>
            <w:hideMark/>
          </w:tcPr>
          <w:p w14:paraId="635FFFAC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SI unit of illuminance, measuring light intensity on a surface.</w:t>
            </w:r>
          </w:p>
        </w:tc>
      </w:tr>
      <w:tr w:rsidR="00862557" w:rsidRPr="00862557" w14:paraId="7A227ECC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5F8B5EE2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Mechanical Advantage</w:t>
            </w:r>
          </w:p>
        </w:tc>
        <w:tc>
          <w:tcPr>
            <w:tcW w:w="6631" w:type="dxa"/>
            <w:noWrap/>
            <w:vAlign w:val="center"/>
            <w:hideMark/>
          </w:tcPr>
          <w:p w14:paraId="00C3FF37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factor by which a mechanism multiplies force, as seen in levers and pulleys.</w:t>
            </w:r>
          </w:p>
        </w:tc>
      </w:tr>
      <w:tr w:rsidR="00862557" w:rsidRPr="00862557" w14:paraId="5DDB8B3D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1867638E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 xml:space="preserve">Moment (newton-metres, </w:t>
            </w:r>
            <w:proofErr w:type="spellStart"/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N·m</w:t>
            </w:r>
            <w:proofErr w:type="spellEnd"/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6631" w:type="dxa"/>
            <w:noWrap/>
            <w:vAlign w:val="center"/>
            <w:hideMark/>
          </w:tcPr>
          <w:p w14:paraId="5162FEF3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turning effect of a force around a pivot point, calculated as force multiplied by perpendicular distance.</w:t>
            </w:r>
          </w:p>
        </w:tc>
      </w:tr>
      <w:tr w:rsidR="00862557" w:rsidRPr="00862557" w14:paraId="1F91113B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4A7990A1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Newton (N)</w:t>
            </w:r>
          </w:p>
        </w:tc>
        <w:tc>
          <w:tcPr>
            <w:tcW w:w="6631" w:type="dxa"/>
            <w:noWrap/>
            <w:vAlign w:val="center"/>
            <w:hideMark/>
          </w:tcPr>
          <w:p w14:paraId="34AE58CA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SI unit of force.</w:t>
            </w:r>
          </w:p>
        </w:tc>
      </w:tr>
      <w:tr w:rsidR="00862557" w:rsidRPr="00862557" w14:paraId="1649277F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1B4EC1BA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Ohm (Ω)</w:t>
            </w:r>
          </w:p>
        </w:tc>
        <w:tc>
          <w:tcPr>
            <w:tcW w:w="6631" w:type="dxa"/>
            <w:noWrap/>
            <w:vAlign w:val="center"/>
            <w:hideMark/>
          </w:tcPr>
          <w:p w14:paraId="376AC660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SI unit for electrical resistance.</w:t>
            </w:r>
          </w:p>
        </w:tc>
      </w:tr>
      <w:tr w:rsidR="00862557" w:rsidRPr="00862557" w14:paraId="29FD9075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0F7CE5B7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lastRenderedPageBreak/>
              <w:t>Ohm’s Law</w:t>
            </w:r>
          </w:p>
        </w:tc>
        <w:tc>
          <w:tcPr>
            <w:tcW w:w="6631" w:type="dxa"/>
            <w:noWrap/>
            <w:vAlign w:val="center"/>
            <w:hideMark/>
          </w:tcPr>
          <w:p w14:paraId="45856842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relationship between voltage, current and resistance in a circuit, expressed as V = I × R.</w:t>
            </w:r>
          </w:p>
        </w:tc>
      </w:tr>
      <w:tr w:rsidR="00862557" w:rsidRPr="00862557" w14:paraId="24439D8D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7F9BA23B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Pascal (Pa)</w:t>
            </w:r>
          </w:p>
        </w:tc>
        <w:tc>
          <w:tcPr>
            <w:tcW w:w="6631" w:type="dxa"/>
            <w:noWrap/>
            <w:vAlign w:val="center"/>
            <w:hideMark/>
          </w:tcPr>
          <w:p w14:paraId="10ABA773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SI unit of pressure.</w:t>
            </w:r>
          </w:p>
        </w:tc>
      </w:tr>
      <w:tr w:rsidR="00862557" w:rsidRPr="00862557" w14:paraId="1CB2CFCB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50FFFB98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Overall Heat Transfer Coefficient</w:t>
            </w:r>
          </w:p>
        </w:tc>
        <w:tc>
          <w:tcPr>
            <w:tcW w:w="6631" w:type="dxa"/>
            <w:noWrap/>
            <w:vAlign w:val="center"/>
            <w:hideMark/>
          </w:tcPr>
          <w:p w14:paraId="0763DA1A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See U-value.</w:t>
            </w:r>
          </w:p>
        </w:tc>
      </w:tr>
      <w:tr w:rsidR="00862557" w:rsidRPr="00862557" w14:paraId="3B17EF64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12DA6901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Power (watt, W)</w:t>
            </w:r>
          </w:p>
        </w:tc>
        <w:tc>
          <w:tcPr>
            <w:tcW w:w="6631" w:type="dxa"/>
            <w:noWrap/>
            <w:vAlign w:val="center"/>
            <w:hideMark/>
          </w:tcPr>
          <w:p w14:paraId="5FFAFF10" w14:textId="08ABA078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rate at which energy is transferred or work is done. Calculated as P = V × I or power = work ÷ time.</w:t>
            </w:r>
          </w:p>
        </w:tc>
      </w:tr>
      <w:tr w:rsidR="00862557" w:rsidRPr="00862557" w14:paraId="255B9B86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7B096354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Pressure (pascals, Pa)</w:t>
            </w:r>
          </w:p>
        </w:tc>
        <w:tc>
          <w:tcPr>
            <w:tcW w:w="6631" w:type="dxa"/>
            <w:noWrap/>
            <w:vAlign w:val="center"/>
            <w:hideMark/>
          </w:tcPr>
          <w:p w14:paraId="32348EEB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amount of force exerted on a surface per unit area, measured in pascals.</w:t>
            </w:r>
          </w:p>
        </w:tc>
      </w:tr>
      <w:tr w:rsidR="00862557" w:rsidRPr="00862557" w14:paraId="029AD007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466A2877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Radiation</w:t>
            </w:r>
          </w:p>
        </w:tc>
        <w:tc>
          <w:tcPr>
            <w:tcW w:w="6631" w:type="dxa"/>
            <w:noWrap/>
            <w:vAlign w:val="center"/>
            <w:hideMark/>
          </w:tcPr>
          <w:p w14:paraId="719F2D53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transfer of heat through electromagnetic waves without requiring a medium.</w:t>
            </w:r>
          </w:p>
        </w:tc>
      </w:tr>
      <w:tr w:rsidR="00862557" w:rsidRPr="00862557" w14:paraId="300B3B6B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082B4E39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Renewable Energy</w:t>
            </w:r>
          </w:p>
        </w:tc>
        <w:tc>
          <w:tcPr>
            <w:tcW w:w="6631" w:type="dxa"/>
            <w:noWrap/>
            <w:vAlign w:val="center"/>
            <w:hideMark/>
          </w:tcPr>
          <w:p w14:paraId="0064A499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Energy derived from natural sources that are replenished, such as solar, wind, hydro and biomass.</w:t>
            </w:r>
          </w:p>
        </w:tc>
      </w:tr>
      <w:tr w:rsidR="00862557" w:rsidRPr="00862557" w14:paraId="4149E75C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39F34B26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Residual Current Device (RCD)</w:t>
            </w:r>
          </w:p>
        </w:tc>
        <w:tc>
          <w:tcPr>
            <w:tcW w:w="6631" w:type="dxa"/>
            <w:noWrap/>
            <w:vAlign w:val="center"/>
            <w:hideMark/>
          </w:tcPr>
          <w:p w14:paraId="4596B27B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A safety device that disconnects electrical supply when leakage current is detected.</w:t>
            </w:r>
          </w:p>
        </w:tc>
      </w:tr>
      <w:tr w:rsidR="00862557" w:rsidRPr="00862557" w14:paraId="231EFA02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4B3D839F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Resistance (ohm, Ω)</w:t>
            </w:r>
          </w:p>
        </w:tc>
        <w:tc>
          <w:tcPr>
            <w:tcW w:w="6631" w:type="dxa"/>
            <w:noWrap/>
            <w:vAlign w:val="center"/>
            <w:hideMark/>
          </w:tcPr>
          <w:p w14:paraId="11EF4461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opposition to current flow in an electrical circuit.</w:t>
            </w:r>
          </w:p>
        </w:tc>
      </w:tr>
      <w:tr w:rsidR="00862557" w:rsidRPr="00862557" w14:paraId="45A2C064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7669DE1D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Risk Assessment</w:t>
            </w:r>
          </w:p>
        </w:tc>
        <w:tc>
          <w:tcPr>
            <w:tcW w:w="6631" w:type="dxa"/>
            <w:noWrap/>
            <w:vAlign w:val="center"/>
            <w:hideMark/>
          </w:tcPr>
          <w:p w14:paraId="567AF200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A systematic process used to identify hazards, evaluate risks and determine control measures to ensure safety.</w:t>
            </w:r>
          </w:p>
        </w:tc>
      </w:tr>
      <w:tr w:rsidR="00862557" w:rsidRPr="00862557" w14:paraId="41D99D79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0FBBA6BB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Shear</w:t>
            </w:r>
          </w:p>
        </w:tc>
        <w:tc>
          <w:tcPr>
            <w:tcW w:w="6631" w:type="dxa"/>
            <w:noWrap/>
            <w:vAlign w:val="center"/>
            <w:hideMark/>
          </w:tcPr>
          <w:p w14:paraId="2CF804B7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A force that causes parts of a material to slide past each other.</w:t>
            </w:r>
          </w:p>
        </w:tc>
      </w:tr>
      <w:tr w:rsidR="00862557" w:rsidRPr="00862557" w14:paraId="2CCF5123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547AFF40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Specific Heat Capacity</w:t>
            </w:r>
          </w:p>
        </w:tc>
        <w:tc>
          <w:tcPr>
            <w:tcW w:w="6631" w:type="dxa"/>
            <w:noWrap/>
            <w:vAlign w:val="center"/>
            <w:hideMark/>
          </w:tcPr>
          <w:p w14:paraId="0D9F215B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amount of energy required to raise the temperature of one kilogram of a substance by one degree Celsius.</w:t>
            </w:r>
          </w:p>
        </w:tc>
      </w:tr>
      <w:tr w:rsidR="00862557" w:rsidRPr="00862557" w14:paraId="2F867BAF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28688495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Stress (pascals, Pa)</w:t>
            </w:r>
          </w:p>
        </w:tc>
        <w:tc>
          <w:tcPr>
            <w:tcW w:w="6631" w:type="dxa"/>
            <w:noWrap/>
            <w:vAlign w:val="bottom"/>
            <w:hideMark/>
          </w:tcPr>
          <w:p w14:paraId="1DFA89D5" w14:textId="4E27B60A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AE79A6">
              <w:rPr>
                <w:rFonts w:ascii="Arial" w:hAnsi="Arial" w:cs="Arial"/>
                <w:sz w:val="22"/>
                <w:szCs w:val="22"/>
                <w:lang w:val="en-US"/>
              </w:rPr>
              <w:t xml:space="preserve">The internal force per unit area within a material, arising from externally applied forces. Calculated as </w:t>
            </w:r>
            <m:oMath>
              <m:r>
                <w:rPr>
                  <w:rFonts w:ascii="Cambria Math" w:hAnsi="Cambria Math" w:cs="Arial"/>
                  <w:sz w:val="22"/>
                  <w:szCs w:val="22"/>
                  <w:lang w:val="en-US"/>
                </w:rPr>
                <m:t>σ=F</m:t>
              </m:r>
              <m:r>
                <m:rPr>
                  <m:sty m:val="p"/>
                </m:rPr>
                <w:rPr>
                  <w:rFonts w:ascii="Cambria Math" w:hAnsi="Cambria Math" w:cs="Arial"/>
                  <w:sz w:val="22"/>
                  <w:szCs w:val="22"/>
                  <w:lang w:val="en-US"/>
                </w:rPr>
                <m:t>/</m:t>
              </m:r>
              <m:r>
                <w:rPr>
                  <w:rFonts w:ascii="Cambria Math" w:hAnsi="Cambria Math" w:cs="Arial"/>
                  <w:sz w:val="22"/>
                  <w:szCs w:val="22"/>
                  <w:lang w:val="en-US"/>
                </w:rPr>
                <m:t>A</m:t>
              </m:r>
            </m:oMath>
            <w:r w:rsidRPr="00AE79A6">
              <w:rPr>
                <w:rFonts w:ascii="Arial" w:hAnsi="Arial" w:cs="Arial"/>
                <w:sz w:val="22"/>
                <w:szCs w:val="22"/>
                <w:lang w:val="en-US"/>
              </w:rPr>
              <w:t xml:space="preserve">, where </w:t>
            </w:r>
            <m:oMath>
              <m:r>
                <w:rPr>
                  <w:rFonts w:ascii="Cambria Math" w:hAnsi="Cambria Math" w:cs="Arial"/>
                  <w:sz w:val="22"/>
                  <w:szCs w:val="22"/>
                  <w:lang w:val="en-US"/>
                </w:rPr>
                <m:t>F</m:t>
              </m:r>
            </m:oMath>
            <w:r w:rsidRPr="00AE79A6">
              <w:rPr>
                <w:rFonts w:ascii="Arial" w:hAnsi="Arial" w:cs="Arial"/>
                <w:sz w:val="22"/>
                <w:szCs w:val="22"/>
                <w:lang w:val="en-US"/>
              </w:rPr>
              <w:t xml:space="preserve"> is force and </w:t>
            </w:r>
            <m:oMath>
              <m:r>
                <w:rPr>
                  <w:rFonts w:ascii="Cambria Math" w:hAnsi="Cambria Math" w:cs="Arial"/>
                  <w:sz w:val="22"/>
                  <w:szCs w:val="22"/>
                  <w:lang w:val="en-US"/>
                </w:rPr>
                <m:t>A</m:t>
              </m:r>
            </m:oMath>
            <w:r w:rsidRPr="00AE79A6">
              <w:rPr>
                <w:rFonts w:ascii="Arial" w:hAnsi="Arial" w:cs="Arial"/>
                <w:sz w:val="22"/>
                <w:szCs w:val="22"/>
                <w:lang w:val="en-US"/>
              </w:rPr>
              <w:t xml:space="preserve"> is the cross-sectional area.</w:t>
            </w:r>
          </w:p>
        </w:tc>
      </w:tr>
      <w:tr w:rsidR="00862557" w:rsidRPr="00862557" w14:paraId="65FC0015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3CC1F385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Strain (dimensionless)</w:t>
            </w:r>
          </w:p>
        </w:tc>
        <w:tc>
          <w:tcPr>
            <w:tcW w:w="6631" w:type="dxa"/>
            <w:noWrap/>
            <w:vAlign w:val="bottom"/>
            <w:hideMark/>
          </w:tcPr>
          <w:p w14:paraId="05B759C8" w14:textId="053D8F92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AE79A6">
              <w:rPr>
                <w:rFonts w:ascii="Arial" w:hAnsi="Arial" w:cs="Arial"/>
                <w:sz w:val="22"/>
                <w:szCs w:val="22"/>
                <w:lang w:val="en-US"/>
              </w:rPr>
              <w:t xml:space="preserve"> The measure of deformation of a material in response to stress, defined as the ratio of change in length to the original length: </w:t>
            </w:r>
            <m:oMath>
              <m:r>
                <w:rPr>
                  <w:rFonts w:ascii="Cambria Math" w:hAnsi="Cambria Math" w:cs="Arial"/>
                  <w:sz w:val="22"/>
                  <w:szCs w:val="22"/>
                  <w:lang w:val="en-US"/>
                </w:rPr>
                <m:t>ε=</m:t>
              </m:r>
              <m:r>
                <m:rPr>
                  <m:sty m:val="p"/>
                </m:rPr>
                <w:rPr>
                  <w:rFonts w:ascii="Cambria Math" w:hAnsi="Cambria Math" w:cs="Arial"/>
                  <w:sz w:val="22"/>
                  <w:szCs w:val="22"/>
                  <w:lang w:val="en-US"/>
                </w:rPr>
                <m:t>Δ</m:t>
              </m:r>
              <m:r>
                <w:rPr>
                  <w:rFonts w:ascii="Cambria Math" w:hAnsi="Cambria Math" w:cs="Arial"/>
                  <w:sz w:val="22"/>
                  <w:szCs w:val="22"/>
                  <w:lang w:val="en-US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Arial"/>
                  <w:sz w:val="22"/>
                  <w:szCs w:val="22"/>
                  <w:lang w:val="en-US"/>
                </w:rPr>
                <m:t>/</m:t>
              </m:r>
              <m:sSub>
                <m:sSubPr>
                  <m:ctrlPr>
                    <w:rPr>
                      <w:rFonts w:ascii="Cambria Math" w:hAnsi="Cambria Math" w:cs="Arial"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2"/>
                      <w:szCs w:val="22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Arial"/>
                      <w:sz w:val="22"/>
                      <w:szCs w:val="22"/>
                      <w:lang w:val="en-US"/>
                    </w:rPr>
                    <m:t>0</m:t>
                  </m:r>
                </m:sub>
              </m:sSub>
            </m:oMath>
            <w:r w:rsidRPr="00AE79A6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</w:tr>
      <w:tr w:rsidR="00862557" w:rsidRPr="00862557" w14:paraId="326F1630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4FFA2270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Sustainability</w:t>
            </w:r>
          </w:p>
        </w:tc>
        <w:tc>
          <w:tcPr>
            <w:tcW w:w="6631" w:type="dxa"/>
            <w:noWrap/>
            <w:vAlign w:val="center"/>
            <w:hideMark/>
          </w:tcPr>
          <w:p w14:paraId="4A081088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principle of meeting present needs without compromising future generations, considering environmental, economic and social factors.</w:t>
            </w:r>
          </w:p>
        </w:tc>
      </w:tr>
      <w:tr w:rsidR="00862557" w:rsidRPr="00862557" w14:paraId="2D946970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6AB2EEAD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Thermal Conductivity (watt per metre-kelvin, W/</w:t>
            </w:r>
            <w:proofErr w:type="spellStart"/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mK</w:t>
            </w:r>
            <w:proofErr w:type="spellEnd"/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6631" w:type="dxa"/>
            <w:noWrap/>
            <w:vAlign w:val="center"/>
            <w:hideMark/>
          </w:tcPr>
          <w:p w14:paraId="6D7B485F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A measure of a material’s ability to conduct heat. Higher values indicate that heat passes through the material more easily.</w:t>
            </w:r>
          </w:p>
        </w:tc>
      </w:tr>
      <w:tr w:rsidR="00862557" w:rsidRPr="00862557" w14:paraId="6BEBBBBA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319DAA28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Thermal Resistance (square metre-kelvin per watt, m²K/W)</w:t>
            </w:r>
          </w:p>
        </w:tc>
        <w:tc>
          <w:tcPr>
            <w:tcW w:w="6631" w:type="dxa"/>
            <w:noWrap/>
            <w:vAlign w:val="center"/>
            <w:hideMark/>
          </w:tcPr>
          <w:p w14:paraId="08958A6A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A measure of a material’s opposition to heat flow. Higher values indicate better insulation, as less heat passes through per unit area for a given temperature difference.</w:t>
            </w:r>
          </w:p>
        </w:tc>
      </w:tr>
      <w:tr w:rsidR="00862557" w:rsidRPr="00862557" w14:paraId="33205DA9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4D8DC9C0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lastRenderedPageBreak/>
              <w:t>Torque (newton-metres, Nm)</w:t>
            </w:r>
          </w:p>
        </w:tc>
        <w:tc>
          <w:tcPr>
            <w:tcW w:w="6631" w:type="dxa"/>
            <w:noWrap/>
            <w:vAlign w:val="center"/>
            <w:hideMark/>
          </w:tcPr>
          <w:p w14:paraId="5381BC44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rotational equivalent of force, producing turning movement.</w:t>
            </w:r>
          </w:p>
        </w:tc>
      </w:tr>
      <w:tr w:rsidR="00862557" w:rsidRPr="00862557" w14:paraId="2B4E4794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7BB5F7E1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Transformer</w:t>
            </w:r>
          </w:p>
        </w:tc>
        <w:tc>
          <w:tcPr>
            <w:tcW w:w="6631" w:type="dxa"/>
            <w:noWrap/>
            <w:vAlign w:val="center"/>
            <w:hideMark/>
          </w:tcPr>
          <w:p w14:paraId="0EF36AA0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An electrical device used to increase (step up) or decrease (step down) voltage in power systems.</w:t>
            </w:r>
          </w:p>
        </w:tc>
      </w:tr>
      <w:tr w:rsidR="00862557" w:rsidRPr="00862557" w14:paraId="5736BA91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751CCF3B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Tension</w:t>
            </w:r>
          </w:p>
        </w:tc>
        <w:tc>
          <w:tcPr>
            <w:tcW w:w="6631" w:type="dxa"/>
            <w:noWrap/>
            <w:vAlign w:val="center"/>
            <w:hideMark/>
          </w:tcPr>
          <w:p w14:paraId="6D46FBCC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A pulling force that stretches a material.</w:t>
            </w:r>
          </w:p>
        </w:tc>
      </w:tr>
      <w:tr w:rsidR="00862557" w:rsidRPr="00862557" w14:paraId="2BA7B9CE" w14:textId="77777777" w:rsidTr="00BF05A0">
        <w:trPr>
          <w:trHeight w:val="330"/>
        </w:trPr>
        <w:tc>
          <w:tcPr>
            <w:tcW w:w="2436" w:type="dxa"/>
            <w:noWrap/>
            <w:vAlign w:val="center"/>
            <w:hideMark/>
          </w:tcPr>
          <w:p w14:paraId="69A03772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U-Value (watts per square-metre-kelvin, W/m2 K)</w:t>
            </w:r>
          </w:p>
        </w:tc>
        <w:tc>
          <w:tcPr>
            <w:tcW w:w="6631" w:type="dxa"/>
            <w:noWrap/>
            <w:vAlign w:val="center"/>
            <w:hideMark/>
          </w:tcPr>
          <w:p w14:paraId="427C0A66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A measure of heat transfer through a building element, such as a wall, roof or window, indicating its insulating performance. It is the inverse of thermal resistance.</w:t>
            </w:r>
          </w:p>
        </w:tc>
      </w:tr>
      <w:tr w:rsidR="00862557" w:rsidRPr="00862557" w14:paraId="5EE79E10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5C8FEA01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Voltage (volt, V)</w:t>
            </w:r>
          </w:p>
        </w:tc>
        <w:tc>
          <w:tcPr>
            <w:tcW w:w="6631" w:type="dxa"/>
            <w:noWrap/>
            <w:vAlign w:val="center"/>
            <w:hideMark/>
          </w:tcPr>
          <w:p w14:paraId="1810FDDC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electrical potential difference that drives current through a circuit.</w:t>
            </w:r>
          </w:p>
        </w:tc>
      </w:tr>
      <w:tr w:rsidR="00862557" w:rsidRPr="00862557" w14:paraId="5E293BE6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76A7AE0A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Volt (V)</w:t>
            </w:r>
          </w:p>
        </w:tc>
        <w:tc>
          <w:tcPr>
            <w:tcW w:w="6631" w:type="dxa"/>
            <w:noWrap/>
            <w:vAlign w:val="center"/>
            <w:hideMark/>
          </w:tcPr>
          <w:p w14:paraId="19CCBADC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SI unit for voltage.</w:t>
            </w:r>
          </w:p>
        </w:tc>
      </w:tr>
      <w:tr w:rsidR="00862557" w:rsidRPr="00862557" w14:paraId="060EDA9E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6EEBC64F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Watt (W)</w:t>
            </w:r>
          </w:p>
        </w:tc>
        <w:tc>
          <w:tcPr>
            <w:tcW w:w="6631" w:type="dxa"/>
            <w:noWrap/>
            <w:vAlign w:val="center"/>
            <w:hideMark/>
          </w:tcPr>
          <w:p w14:paraId="6623CA25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SI unit of power.</w:t>
            </w:r>
          </w:p>
        </w:tc>
      </w:tr>
      <w:tr w:rsidR="00862557" w:rsidRPr="00862557" w14:paraId="73683452" w14:textId="77777777" w:rsidTr="00BF05A0">
        <w:trPr>
          <w:trHeight w:val="290"/>
        </w:trPr>
        <w:tc>
          <w:tcPr>
            <w:tcW w:w="2436" w:type="dxa"/>
            <w:noWrap/>
            <w:vAlign w:val="center"/>
            <w:hideMark/>
          </w:tcPr>
          <w:p w14:paraId="02E58577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Work Done</w:t>
            </w:r>
          </w:p>
        </w:tc>
        <w:tc>
          <w:tcPr>
            <w:tcW w:w="6631" w:type="dxa"/>
            <w:noWrap/>
            <w:vAlign w:val="center"/>
            <w:hideMark/>
          </w:tcPr>
          <w:p w14:paraId="3A3DE432" w14:textId="77777777" w:rsidR="00862557" w:rsidRPr="00862557" w:rsidRDefault="00862557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  <w:r w:rsidRPr="00862557"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  <w:t>The energy transferred when a force moves an object through a distance (work = force × distance). Work done has unit joules (J).</w:t>
            </w:r>
          </w:p>
        </w:tc>
      </w:tr>
      <w:tr w:rsidR="003232E5" w:rsidRPr="00862557" w14:paraId="33BCF954" w14:textId="77777777" w:rsidTr="00BF05A0">
        <w:trPr>
          <w:trHeight w:val="290"/>
        </w:trPr>
        <w:tc>
          <w:tcPr>
            <w:tcW w:w="2436" w:type="dxa"/>
            <w:noWrap/>
            <w:vAlign w:val="center"/>
          </w:tcPr>
          <w:p w14:paraId="60E60684" w14:textId="77777777" w:rsidR="003232E5" w:rsidRPr="00862557" w:rsidRDefault="003232E5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</w:p>
        </w:tc>
        <w:tc>
          <w:tcPr>
            <w:tcW w:w="6631" w:type="dxa"/>
            <w:noWrap/>
            <w:vAlign w:val="center"/>
          </w:tcPr>
          <w:p w14:paraId="7394EFB5" w14:textId="77777777" w:rsidR="003232E5" w:rsidRPr="00862557" w:rsidRDefault="003232E5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</w:p>
        </w:tc>
      </w:tr>
      <w:tr w:rsidR="003232E5" w:rsidRPr="00862557" w14:paraId="718EA285" w14:textId="77777777" w:rsidTr="00BF05A0">
        <w:trPr>
          <w:trHeight w:val="290"/>
        </w:trPr>
        <w:tc>
          <w:tcPr>
            <w:tcW w:w="2436" w:type="dxa"/>
            <w:noWrap/>
            <w:vAlign w:val="center"/>
          </w:tcPr>
          <w:p w14:paraId="0E5386FF" w14:textId="77777777" w:rsidR="003232E5" w:rsidRPr="00862557" w:rsidRDefault="003232E5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</w:p>
        </w:tc>
        <w:tc>
          <w:tcPr>
            <w:tcW w:w="6631" w:type="dxa"/>
            <w:noWrap/>
            <w:vAlign w:val="center"/>
          </w:tcPr>
          <w:p w14:paraId="356EAA79" w14:textId="77777777" w:rsidR="003232E5" w:rsidRPr="00862557" w:rsidRDefault="003232E5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</w:p>
        </w:tc>
      </w:tr>
      <w:tr w:rsidR="003232E5" w:rsidRPr="00862557" w14:paraId="4429008D" w14:textId="77777777" w:rsidTr="00BF05A0">
        <w:trPr>
          <w:trHeight w:val="290"/>
        </w:trPr>
        <w:tc>
          <w:tcPr>
            <w:tcW w:w="2436" w:type="dxa"/>
            <w:noWrap/>
            <w:vAlign w:val="center"/>
          </w:tcPr>
          <w:p w14:paraId="744B367C" w14:textId="77777777" w:rsidR="003232E5" w:rsidRPr="00862557" w:rsidRDefault="003232E5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</w:p>
        </w:tc>
        <w:tc>
          <w:tcPr>
            <w:tcW w:w="6631" w:type="dxa"/>
            <w:noWrap/>
            <w:vAlign w:val="center"/>
          </w:tcPr>
          <w:p w14:paraId="047629AA" w14:textId="77777777" w:rsidR="003232E5" w:rsidRPr="00862557" w:rsidRDefault="003232E5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</w:p>
        </w:tc>
      </w:tr>
      <w:tr w:rsidR="003232E5" w:rsidRPr="00862557" w14:paraId="5D8A68D6" w14:textId="77777777" w:rsidTr="00BF05A0">
        <w:trPr>
          <w:trHeight w:val="290"/>
        </w:trPr>
        <w:tc>
          <w:tcPr>
            <w:tcW w:w="2436" w:type="dxa"/>
            <w:noWrap/>
            <w:vAlign w:val="center"/>
          </w:tcPr>
          <w:p w14:paraId="2A60B889" w14:textId="77777777" w:rsidR="003232E5" w:rsidRPr="00862557" w:rsidRDefault="003232E5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</w:p>
        </w:tc>
        <w:tc>
          <w:tcPr>
            <w:tcW w:w="6631" w:type="dxa"/>
            <w:noWrap/>
            <w:vAlign w:val="center"/>
          </w:tcPr>
          <w:p w14:paraId="5B942633" w14:textId="77777777" w:rsidR="003232E5" w:rsidRPr="00862557" w:rsidRDefault="003232E5" w:rsidP="00862557">
            <w:pPr>
              <w:spacing w:beforeLines="40" w:before="96" w:afterLines="40" w:after="96" w:line="240" w:lineRule="auto"/>
              <w:rPr>
                <w:rFonts w:ascii="Arial" w:eastAsia="Arial" w:hAnsi="Arial" w:cs="Arial"/>
                <w:color w:val="0D0D0D"/>
                <w:sz w:val="22"/>
                <w:szCs w:val="22"/>
                <w:lang w:eastAsia="en-GB"/>
              </w:rPr>
            </w:pPr>
          </w:p>
        </w:tc>
      </w:tr>
    </w:tbl>
    <w:p w14:paraId="1AD8E236" w14:textId="77777777" w:rsidR="00BF05A0" w:rsidRPr="00BF05A0" w:rsidRDefault="00BF05A0" w:rsidP="00BF05A0">
      <w:pPr>
        <w:rPr>
          <w:rFonts w:ascii="Arial" w:eastAsia="Arial" w:hAnsi="Arial" w:cs="Arial"/>
          <w:sz w:val="22"/>
          <w:szCs w:val="22"/>
          <w:lang w:eastAsia="en-GB"/>
        </w:rPr>
      </w:pPr>
    </w:p>
    <w:sectPr w:rsidR="00BF05A0" w:rsidRPr="00BF05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E9A68" w14:textId="77777777" w:rsidR="001B38E0" w:rsidRDefault="001B38E0" w:rsidP="00D521F3">
      <w:pPr>
        <w:spacing w:after="0" w:line="240" w:lineRule="auto"/>
      </w:pPr>
      <w:r>
        <w:separator/>
      </w:r>
    </w:p>
  </w:endnote>
  <w:endnote w:type="continuationSeparator" w:id="0">
    <w:p w14:paraId="005D78AF" w14:textId="77777777" w:rsidR="001B38E0" w:rsidRDefault="001B38E0" w:rsidP="00D52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29343" w14:textId="77777777" w:rsidR="003E4348" w:rsidRDefault="003E43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Bidi" w:eastAsiaTheme="minorEastAsia" w:hAnsiTheme="minorBidi"/>
        <w:kern w:val="0"/>
        <w:sz w:val="20"/>
        <w:szCs w:val="20"/>
        <w:lang w:eastAsia="ja-JP"/>
        <w14:ligatures w14:val="none"/>
      </w:rPr>
      <w:id w:val="-115300993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tbl>
        <w:tblPr>
          <w:tblStyle w:val="TableGridLight"/>
          <w:tblW w:w="0" w:type="auto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45"/>
          <w:gridCol w:w="3771"/>
        </w:tblGrid>
        <w:tr w:rsidR="00D521F3" w:rsidRPr="00D521F3" w14:paraId="7A4226CD" w14:textId="77777777" w:rsidTr="00FE0448">
          <w:tc>
            <w:tcPr>
              <w:tcW w:w="9016" w:type="dxa"/>
              <w:gridSpan w:val="2"/>
              <w:tcBorders>
                <w:bottom w:val="nil"/>
              </w:tcBorders>
            </w:tcPr>
            <w:p w14:paraId="090BF94D" w14:textId="77777777" w:rsidR="00BF05A0" w:rsidRDefault="00BF05A0" w:rsidP="00D521F3">
              <w:pPr>
                <w:pStyle w:val="Header"/>
                <w:spacing w:after="120"/>
                <w:rPr>
                  <w:rFonts w:asciiTheme="minorBidi" w:eastAsiaTheme="minorEastAsia" w:hAnsiTheme="minorBidi"/>
                  <w:kern w:val="0"/>
                  <w:sz w:val="20"/>
                  <w:szCs w:val="20"/>
                  <w:lang w:eastAsia="ja-JP"/>
                  <w14:ligatures w14:val="none"/>
                </w:rPr>
              </w:pPr>
            </w:p>
            <w:p w14:paraId="4634FFB2" w14:textId="3B799714" w:rsidR="00D521F3" w:rsidRPr="00D521F3" w:rsidRDefault="00D521F3" w:rsidP="00D521F3">
              <w:pPr>
                <w:pStyle w:val="Header"/>
                <w:spacing w:after="120"/>
                <w:rPr>
                  <w:rFonts w:asciiTheme="minorBidi" w:hAnsiTheme="minorBidi"/>
                  <w:sz w:val="18"/>
                  <w:szCs w:val="18"/>
                </w:rPr>
              </w:pPr>
              <w:r w:rsidRPr="00D521F3">
                <w:rPr>
                  <w:rFonts w:asciiTheme="minorBidi" w:hAnsiTheme="minorBidi"/>
                  <w:sz w:val="20"/>
                  <w:szCs w:val="20"/>
                </w:rPr>
                <w:t>Construction</w:t>
              </w:r>
              <w:r w:rsidR="004E4DD3">
                <w:rPr>
                  <w:rFonts w:asciiTheme="minorBidi" w:hAnsiTheme="minorBidi"/>
                  <w:sz w:val="20"/>
                  <w:szCs w:val="20"/>
                </w:rPr>
                <w:t xml:space="preserve"> BSE</w:t>
              </w:r>
              <w:r w:rsidRPr="00D521F3">
                <w:rPr>
                  <w:rFonts w:asciiTheme="minorBidi" w:hAnsiTheme="minorBidi"/>
                  <w:noProof/>
                  <w:sz w:val="20"/>
                  <w:szCs w:val="20"/>
                </w:rPr>
                <w:t xml:space="preserve">: Practical </w:t>
              </w:r>
              <w:r w:rsidR="004E4DD3">
                <w:rPr>
                  <w:rFonts w:asciiTheme="minorBidi" w:hAnsiTheme="minorBidi"/>
                  <w:noProof/>
                  <w:sz w:val="20"/>
                  <w:szCs w:val="20"/>
                </w:rPr>
                <w:t>m</w:t>
              </w:r>
              <w:r w:rsidRPr="00D521F3">
                <w:rPr>
                  <w:rFonts w:asciiTheme="minorBidi" w:hAnsiTheme="minorBidi"/>
                  <w:noProof/>
                  <w:sz w:val="20"/>
                  <w:szCs w:val="20"/>
                </w:rPr>
                <w:t>athematics</w:t>
              </w:r>
            </w:p>
          </w:tc>
        </w:tr>
        <w:tr w:rsidR="00D521F3" w:rsidRPr="00D521F3" w14:paraId="34824B90" w14:textId="77777777" w:rsidTr="00FE0448">
          <w:tc>
            <w:tcPr>
              <w:tcW w:w="5245" w:type="dxa"/>
              <w:tcBorders>
                <w:top w:val="nil"/>
                <w:bottom w:val="single" w:sz="12" w:space="0" w:color="EBDDF4"/>
              </w:tcBorders>
            </w:tcPr>
            <w:p w14:paraId="56D79031" w14:textId="5BBE101E" w:rsidR="00D521F3" w:rsidRPr="00D521F3" w:rsidRDefault="003E4348" w:rsidP="00D521F3">
              <w:pPr>
                <w:pStyle w:val="Header"/>
                <w:spacing w:after="120"/>
                <w:rPr>
                  <w:rFonts w:asciiTheme="minorBidi" w:hAnsiTheme="minorBidi"/>
                  <w:sz w:val="20"/>
                  <w:szCs w:val="20"/>
                </w:rPr>
              </w:pPr>
              <w:r w:rsidRPr="003E4348">
                <w:rPr>
                  <w:rFonts w:asciiTheme="minorBidi" w:hAnsiTheme="minorBidi"/>
                  <w:noProof/>
                  <w:sz w:val="20"/>
                  <w:szCs w:val="20"/>
                </w:rPr>
                <w:t>Version 1.1, September 2026</w:t>
              </w:r>
            </w:p>
          </w:tc>
          <w:tc>
            <w:tcPr>
              <w:tcW w:w="3771" w:type="dxa"/>
              <w:tcBorders>
                <w:top w:val="nil"/>
                <w:bottom w:val="single" w:sz="12" w:space="0" w:color="EBDDF4"/>
              </w:tcBorders>
              <w:vAlign w:val="bottom"/>
            </w:tcPr>
            <w:p w14:paraId="26C37C3F" w14:textId="77777777" w:rsidR="00D521F3" w:rsidRPr="00D521F3" w:rsidRDefault="00D521F3" w:rsidP="00D521F3">
              <w:pPr>
                <w:pStyle w:val="Header"/>
                <w:spacing w:after="120"/>
                <w:jc w:val="right"/>
                <w:rPr>
                  <w:rFonts w:asciiTheme="minorBidi" w:hAnsiTheme="minorBidi"/>
                  <w:sz w:val="20"/>
                  <w:szCs w:val="20"/>
                </w:rPr>
              </w:pPr>
              <w:r w:rsidRPr="00D521F3">
                <w:rPr>
                  <w:rFonts w:asciiTheme="minorBidi" w:hAnsiTheme="minorBidi"/>
                  <w:sz w:val="18"/>
                  <w:szCs w:val="18"/>
                </w:rPr>
                <w:t>© Gatsby Technical Education Projects 2026</w:t>
              </w:r>
            </w:p>
          </w:tc>
        </w:tr>
      </w:tbl>
      <w:p w14:paraId="57935B30" w14:textId="77777777" w:rsidR="00BF05A0" w:rsidRDefault="00BF05A0" w:rsidP="00BF05A0">
        <w:pPr>
          <w:pStyle w:val="Footer"/>
          <w:jc w:val="center"/>
          <w:rPr>
            <w:rFonts w:asciiTheme="minorBidi" w:hAnsiTheme="minorBidi"/>
            <w:color w:val="808080" w:themeColor="background1" w:themeShade="80"/>
            <w:sz w:val="20"/>
            <w:szCs w:val="20"/>
          </w:rPr>
        </w:pPr>
      </w:p>
      <w:p w14:paraId="1B7CB8B1" w14:textId="068280C9" w:rsidR="00D521F3" w:rsidRPr="00BF05A0" w:rsidRDefault="00D521F3" w:rsidP="00BF05A0">
        <w:pPr>
          <w:pStyle w:val="Footer"/>
          <w:jc w:val="center"/>
          <w:rPr>
            <w:rFonts w:asciiTheme="minorBidi" w:hAnsiTheme="minorBidi"/>
            <w:noProof/>
            <w:color w:val="808080" w:themeColor="background1" w:themeShade="80"/>
            <w:sz w:val="20"/>
            <w:szCs w:val="20"/>
          </w:rPr>
        </w:pPr>
        <w:r w:rsidRPr="00D521F3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begin"/>
        </w:r>
        <w:r w:rsidRPr="00D521F3">
          <w:rPr>
            <w:rFonts w:asciiTheme="minorBidi" w:hAnsiTheme="minorBidi"/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D521F3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separate"/>
        </w:r>
        <w:r w:rsidRPr="00D521F3">
          <w:rPr>
            <w:rFonts w:asciiTheme="minorBidi" w:hAnsiTheme="minorBidi"/>
            <w:color w:val="808080" w:themeColor="background1" w:themeShade="80"/>
            <w:sz w:val="20"/>
            <w:szCs w:val="20"/>
          </w:rPr>
          <w:t>1</w:t>
        </w:r>
        <w:r w:rsidRPr="00D521F3">
          <w:rPr>
            <w:rFonts w:asciiTheme="minorBidi" w:hAnsiTheme="minorBidi"/>
            <w:noProof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1E2A7" w14:textId="77777777" w:rsidR="003E4348" w:rsidRDefault="003E43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25835" w14:textId="77777777" w:rsidR="001B38E0" w:rsidRDefault="001B38E0" w:rsidP="00D521F3">
      <w:pPr>
        <w:spacing w:after="0" w:line="240" w:lineRule="auto"/>
      </w:pPr>
      <w:r>
        <w:separator/>
      </w:r>
    </w:p>
  </w:footnote>
  <w:footnote w:type="continuationSeparator" w:id="0">
    <w:p w14:paraId="084D606F" w14:textId="77777777" w:rsidR="001B38E0" w:rsidRDefault="001B38E0" w:rsidP="00D52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E6306" w14:textId="77777777" w:rsidR="003E4348" w:rsidRDefault="003E43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5CBDB" w14:textId="77777777" w:rsidR="00862557" w:rsidRDefault="00862557" w:rsidP="00862557">
    <w:pPr>
      <w:spacing w:after="0"/>
    </w:pPr>
  </w:p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D521F3" w14:paraId="594F9069" w14:textId="77777777" w:rsidTr="00FE0448">
      <w:tc>
        <w:tcPr>
          <w:tcW w:w="2127" w:type="dxa"/>
          <w:tcBorders>
            <w:bottom w:val="single" w:sz="12" w:space="0" w:color="EBDDF4"/>
          </w:tcBorders>
        </w:tcPr>
        <w:p w14:paraId="2949218B" w14:textId="77777777" w:rsidR="00D521F3" w:rsidRDefault="00D521F3" w:rsidP="00D521F3">
          <w:pPr>
            <w:pStyle w:val="Header"/>
            <w:spacing w:after="120"/>
            <w:rPr>
              <w:sz w:val="20"/>
              <w:szCs w:val="20"/>
            </w:rPr>
          </w:pPr>
          <w:bookmarkStart w:id="0" w:name="_Hlk138416114"/>
          <w:bookmarkStart w:id="1" w:name="_Hlk138762648"/>
          <w:bookmarkStart w:id="2" w:name="_Hlk138762649"/>
        </w:p>
      </w:tc>
      <w:tc>
        <w:tcPr>
          <w:tcW w:w="6889" w:type="dxa"/>
          <w:tcBorders>
            <w:bottom w:val="single" w:sz="12" w:space="0" w:color="EBDDF4"/>
          </w:tcBorders>
        </w:tcPr>
        <w:p w14:paraId="78546910" w14:textId="2C4B65C7" w:rsidR="00D521F3" w:rsidRDefault="00D521F3" w:rsidP="00D521F3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Glossary </w:t>
          </w:r>
        </w:p>
      </w:tc>
    </w:tr>
  </w:tbl>
  <w:bookmarkEnd w:id="0"/>
  <w:p w14:paraId="5C63E0E3" w14:textId="77777777" w:rsidR="00D521F3" w:rsidRPr="00862C5D" w:rsidRDefault="00D521F3" w:rsidP="00D521F3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EB74F02" wp14:editId="595F0B2B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74A55" w14:textId="77777777" w:rsidR="003E4348" w:rsidRDefault="003E43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c0NDUxtTQzABKGZko6SsGpxcWZ+XkgBUa1AA5HjRosAAAA"/>
  </w:docVars>
  <w:rsids>
    <w:rsidRoot w:val="0D112B69"/>
    <w:rsid w:val="00055618"/>
    <w:rsid w:val="00084EA4"/>
    <w:rsid w:val="000967F2"/>
    <w:rsid w:val="001519D7"/>
    <w:rsid w:val="001A46CA"/>
    <w:rsid w:val="001A7FA1"/>
    <w:rsid w:val="001B38E0"/>
    <w:rsid w:val="001E7009"/>
    <w:rsid w:val="001E771E"/>
    <w:rsid w:val="00264807"/>
    <w:rsid w:val="002B11D4"/>
    <w:rsid w:val="002D648C"/>
    <w:rsid w:val="003232E5"/>
    <w:rsid w:val="003C2A5A"/>
    <w:rsid w:val="003E4348"/>
    <w:rsid w:val="004165F3"/>
    <w:rsid w:val="0043354E"/>
    <w:rsid w:val="004674C1"/>
    <w:rsid w:val="004E4DD3"/>
    <w:rsid w:val="00506805"/>
    <w:rsid w:val="0055304C"/>
    <w:rsid w:val="00570F02"/>
    <w:rsid w:val="0061669C"/>
    <w:rsid w:val="00632B62"/>
    <w:rsid w:val="006668CD"/>
    <w:rsid w:val="0070289B"/>
    <w:rsid w:val="00795442"/>
    <w:rsid w:val="007A03BE"/>
    <w:rsid w:val="007C0AB8"/>
    <w:rsid w:val="007C3F9F"/>
    <w:rsid w:val="007D5115"/>
    <w:rsid w:val="00825301"/>
    <w:rsid w:val="00862557"/>
    <w:rsid w:val="008C0CC3"/>
    <w:rsid w:val="00913D46"/>
    <w:rsid w:val="00924186"/>
    <w:rsid w:val="00965CBD"/>
    <w:rsid w:val="00975A2A"/>
    <w:rsid w:val="009A7A15"/>
    <w:rsid w:val="00A16EEC"/>
    <w:rsid w:val="00A421DE"/>
    <w:rsid w:val="00B8185C"/>
    <w:rsid w:val="00B878D2"/>
    <w:rsid w:val="00BF05A0"/>
    <w:rsid w:val="00C07718"/>
    <w:rsid w:val="00C36C93"/>
    <w:rsid w:val="00D36048"/>
    <w:rsid w:val="00D521F3"/>
    <w:rsid w:val="00E8716D"/>
    <w:rsid w:val="00F4550F"/>
    <w:rsid w:val="00F82AF4"/>
    <w:rsid w:val="00FA0CF5"/>
    <w:rsid w:val="00FE7637"/>
    <w:rsid w:val="0D112B69"/>
    <w:rsid w:val="2B64D6E8"/>
    <w:rsid w:val="777D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112B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21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878D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878D2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E871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71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71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1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16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52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1F3"/>
  </w:style>
  <w:style w:type="paragraph" w:styleId="Footer">
    <w:name w:val="footer"/>
    <w:basedOn w:val="Normal"/>
    <w:link w:val="FooterChar"/>
    <w:uiPriority w:val="99"/>
    <w:unhideWhenUsed/>
    <w:rsid w:val="00D52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1F3"/>
  </w:style>
  <w:style w:type="table" w:styleId="TableGridLight">
    <w:name w:val="Grid Table Light"/>
    <w:basedOn w:val="TableNormal"/>
    <w:uiPriority w:val="40"/>
    <w:rsid w:val="00D521F3"/>
    <w:pPr>
      <w:spacing w:after="0" w:line="240" w:lineRule="auto"/>
    </w:pPr>
    <w:rPr>
      <w:rFonts w:eastAsiaTheme="minorHAnsi"/>
      <w:kern w:val="2"/>
      <w:sz w:val="22"/>
      <w:szCs w:val="22"/>
      <w:lang w:eastAsia="en-US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hapter">
    <w:name w:val="Chapter"/>
    <w:basedOn w:val="Heading1"/>
    <w:qFormat/>
    <w:rsid w:val="00D521F3"/>
    <w:pPr>
      <w:shd w:val="clear" w:color="auto" w:fill="EBDDF4"/>
      <w:spacing w:after="200" w:line="259" w:lineRule="auto"/>
    </w:pPr>
    <w:rPr>
      <w:rFonts w:ascii="Arial" w:hAnsi="Arial"/>
      <w:b/>
      <w:bCs/>
      <w:color w:val="432673"/>
      <w:kern w:val="2"/>
      <w:sz w:val="40"/>
      <w:szCs w:val="40"/>
      <w:lang w:eastAsia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D52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62557"/>
    <w:pPr>
      <w:spacing w:after="0" w:line="240" w:lineRule="auto"/>
    </w:pPr>
    <w:rPr>
      <w:rFonts w:ascii="Arial" w:eastAsia="Arial" w:hAnsi="Arial" w:cs="Arial"/>
      <w:color w:val="0D0D0D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CBE4BB3A37E488EBA36778162DF73" ma:contentTypeVersion="14" ma:contentTypeDescription="Create a new document." ma:contentTypeScope="" ma:versionID="0fb43fb1aa4e59332d5b0f19b84463ad">
  <xsd:schema xmlns:xsd="http://www.w3.org/2001/XMLSchema" xmlns:xs="http://www.w3.org/2001/XMLSchema" xmlns:p="http://schemas.microsoft.com/office/2006/metadata/properties" xmlns:ns2="793c77ee-4b4c-4c71-81d8-13ade05a2728" xmlns:ns3="35bd0bae-f88e-4010-86b3-4f837abcc0be" targetNamespace="http://schemas.microsoft.com/office/2006/metadata/properties" ma:root="true" ma:fieldsID="72831a12c1f50ef4f14741b0b460a1ce" ns2:_="" ns3:_="">
    <xsd:import namespace="793c77ee-4b4c-4c71-81d8-13ade05a2728"/>
    <xsd:import namespace="35bd0bae-f88e-4010-86b3-4f837abcc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77ee-4b4c-4c71-81d8-13ade05a2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23eb9-42bf-4c5f-9fdb-2be1ed835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d0bae-f88e-4010-86b3-4f837abcc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8b4b58-1043-4966-96c8-0b089c760a9f}" ma:internalName="TaxCatchAll" ma:showField="CatchAllData" ma:web="35bd0bae-f88e-4010-86b3-4f837abcc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d0bae-f88e-4010-86b3-4f837abcc0be" xsi:nil="true"/>
    <lcf76f155ced4ddcb4097134ff3c332f xmlns="793c77ee-4b4c-4c71-81d8-13ade05a2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08C292-476F-4DCC-B993-54B026FB35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3B2765-D93F-461A-8CD1-4A040424F970}"/>
</file>

<file path=customXml/itemProps3.xml><?xml version="1.0" encoding="utf-8"?>
<ds:datastoreItem xmlns:ds="http://schemas.openxmlformats.org/officeDocument/2006/customXml" ds:itemID="{0EAAD5D9-7C3E-429F-A39E-6DAE86B8E7F7}"/>
</file>

<file path=customXml/itemProps4.xml><?xml version="1.0" encoding="utf-8"?>
<ds:datastoreItem xmlns:ds="http://schemas.openxmlformats.org/officeDocument/2006/customXml" ds:itemID="{E4ACFEF0-5301-439F-9F96-04521FD4E8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1030</Words>
  <Characters>5876</Characters>
  <Application>Microsoft Office Word</Application>
  <DocSecurity>0</DocSecurity>
  <Lines>48</Lines>
  <Paragraphs>13</Paragraphs>
  <ScaleCrop>false</ScaleCrop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2026-07-02T11:52:00Z</dcterms:created>
  <dcterms:modified xsi:type="dcterms:W3CDTF">2026-08-28T11:46:00Z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0x010100823CBE4BB3A37E488EBA36778162DF73</vt:lpwstr>
  </property>
</Properties>
</file>